
<file path=[Content_Types].xml><?xml version="1.0" encoding="utf-8"?>
<Types xmlns="http://schemas.openxmlformats.org/package/2006/content-types">
  <Default Extension="emf" ContentType="image/x-emf"/>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224A6D" w14:textId="1F0D7567" w:rsidR="001D7E11" w:rsidRDefault="001D7E11" w:rsidP="009B2CE1">
      <w:pPr>
        <w:jc w:val="center"/>
        <w:rPr>
          <w:lang w:val="en-GB"/>
        </w:rPr>
      </w:pPr>
    </w:p>
    <w:tbl>
      <w:tblPr>
        <w:tblStyle w:val="Grilledutableau"/>
        <w:tblW w:w="11340" w:type="dxa"/>
        <w:tblInd w:w="-11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68"/>
        <w:gridCol w:w="2268"/>
        <w:gridCol w:w="2268"/>
        <w:gridCol w:w="2268"/>
        <w:gridCol w:w="2268"/>
      </w:tblGrid>
      <w:tr w:rsidR="00B55421" w14:paraId="59D88087" w14:textId="77777777" w:rsidTr="00892B2B">
        <w:tc>
          <w:tcPr>
            <w:tcW w:w="2268" w:type="dxa"/>
            <w:vAlign w:val="center"/>
          </w:tcPr>
          <w:p w14:paraId="298E13FC" w14:textId="056738C1" w:rsidR="00B55421" w:rsidRDefault="00B55421" w:rsidP="009B2CE1">
            <w:pPr>
              <w:jc w:val="center"/>
              <w:rPr>
                <w:lang w:val="en-GB"/>
              </w:rPr>
            </w:pPr>
          </w:p>
          <w:p w14:paraId="4AA182F6" w14:textId="46999C07" w:rsidR="00B55421" w:rsidRDefault="00B55421" w:rsidP="009B2CE1">
            <w:pPr>
              <w:jc w:val="center"/>
              <w:rPr>
                <w:lang w:val="en-GB"/>
              </w:rPr>
            </w:pPr>
          </w:p>
          <w:p w14:paraId="3305B9AF" w14:textId="41D77606" w:rsidR="00B55421" w:rsidRDefault="00160E16" w:rsidP="00C42540">
            <w:pPr>
              <w:jc w:val="center"/>
              <w:rPr>
                <w:lang w:val="en-GB"/>
              </w:rPr>
            </w:pPr>
            <w:r>
              <w:rPr>
                <w:noProof/>
                <w:lang w:val="en-GB"/>
              </w:rPr>
              <w:drawing>
                <wp:inline distT="0" distB="0" distL="0" distR="0" wp14:anchorId="6415B9EF" wp14:editId="0C94C1B2">
                  <wp:extent cx="1165860" cy="407937"/>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AST_BASELINE_HD.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69523" cy="409219"/>
                          </a:xfrm>
                          <a:prstGeom prst="rect">
                            <a:avLst/>
                          </a:prstGeom>
                        </pic:spPr>
                      </pic:pic>
                    </a:graphicData>
                  </a:graphic>
                </wp:inline>
              </w:drawing>
            </w:r>
          </w:p>
          <w:p w14:paraId="7DB135AD" w14:textId="77777777" w:rsidR="00B55421" w:rsidRDefault="00B55421" w:rsidP="009B2CE1">
            <w:pPr>
              <w:jc w:val="center"/>
              <w:rPr>
                <w:lang w:val="en-GB"/>
              </w:rPr>
            </w:pPr>
          </w:p>
        </w:tc>
        <w:tc>
          <w:tcPr>
            <w:tcW w:w="2268" w:type="dxa"/>
            <w:vAlign w:val="center"/>
          </w:tcPr>
          <w:p w14:paraId="12653C84" w14:textId="77777777" w:rsidR="00B55421" w:rsidRDefault="00F833F2" w:rsidP="009B2CE1">
            <w:pPr>
              <w:jc w:val="center"/>
              <w:rPr>
                <w:lang w:val="en-GB"/>
              </w:rPr>
            </w:pPr>
            <w:r>
              <w:rPr>
                <w:noProof/>
                <w:lang w:eastAsia="fr-FR"/>
              </w:rPr>
              <mc:AlternateContent>
                <mc:Choice Requires="wps">
                  <w:drawing>
                    <wp:anchor distT="0" distB="0" distL="114300" distR="114300" simplePos="0" relativeHeight="251701248" behindDoc="0" locked="0" layoutInCell="1" allowOverlap="1" wp14:anchorId="529A142A" wp14:editId="7C046605">
                      <wp:simplePos x="0" y="0"/>
                      <wp:positionH relativeFrom="column">
                        <wp:posOffset>272415</wp:posOffset>
                      </wp:positionH>
                      <wp:positionV relativeFrom="paragraph">
                        <wp:posOffset>6350</wp:posOffset>
                      </wp:positionV>
                      <wp:extent cx="853440" cy="693420"/>
                      <wp:effectExtent l="0" t="0" r="3810" b="0"/>
                      <wp:wrapNone/>
                      <wp:docPr id="18" name="Zone de texte 18"/>
                      <wp:cNvGraphicFramePr/>
                      <a:graphic xmlns:a="http://schemas.openxmlformats.org/drawingml/2006/main">
                        <a:graphicData uri="http://schemas.microsoft.com/office/word/2010/wordprocessingShape">
                          <wps:wsp>
                            <wps:cNvSpPr txBox="1"/>
                            <wps:spPr>
                              <a:xfrm>
                                <a:off x="0" y="0"/>
                                <a:ext cx="853440" cy="693420"/>
                              </a:xfrm>
                              <a:prstGeom prst="rect">
                                <a:avLst/>
                              </a:prstGeom>
                              <a:solidFill>
                                <a:schemeClr val="lt1"/>
                              </a:solidFill>
                              <a:ln w="6350">
                                <a:noFill/>
                              </a:ln>
                            </wps:spPr>
                            <wps:txbx>
                              <w:txbxContent>
                                <w:p w14:paraId="4AFE4FF3" w14:textId="77777777" w:rsidR="009F3F44" w:rsidRDefault="009F3F44" w:rsidP="00F833F2">
                                  <w:r>
                                    <w:rPr>
                                      <w:noProof/>
                                      <w:lang w:eastAsia="fr-FR"/>
                                    </w:rPr>
                                    <w:drawing>
                                      <wp:inline distT="0" distB="0" distL="0" distR="0" wp14:anchorId="78C50FAF" wp14:editId="3AF7AB47">
                                        <wp:extent cx="553972" cy="518160"/>
                                        <wp:effectExtent l="0" t="0" r="0" b="0"/>
                                        <wp:docPr id="4" name="Image 4" descr="Résultat de recherche d'images pour &quot;axlr satt&quot;"/>
                                        <wp:cNvGraphicFramePr/>
                                        <a:graphic xmlns:a="http://schemas.openxmlformats.org/drawingml/2006/main">
                                          <a:graphicData uri="http://schemas.openxmlformats.org/drawingml/2006/picture">
                                            <pic:pic xmlns:pic="http://schemas.openxmlformats.org/drawingml/2006/picture">
                                              <pic:nvPicPr>
                                                <pic:cNvPr id="16" name="Image 16" descr="Résultat de recherche d'images pour &quot;axlr satt&quot;"/>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57341" cy="521311"/>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29A142A" id="_x0000_t202" coordsize="21600,21600" o:spt="202" path="m,l,21600r21600,l21600,xe">
                      <v:stroke joinstyle="miter"/>
                      <v:path gradientshapeok="t" o:connecttype="rect"/>
                    </v:shapetype>
                    <v:shape id="Zone de texte 18" o:spid="_x0000_s1026" type="#_x0000_t202" style="position:absolute;left:0;text-align:left;margin-left:21.45pt;margin-top:.5pt;width:67.2pt;height:54.6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" fillcolor="white [3201]" stroked="f" strokeweight=".5pt">
                      <v:textbox>
                        <w:txbxContent>
                          <w:p w14:paraId="4AFE4FF3" w14:textId="77777777" w:rsidR="009F3F44" w:rsidRDefault="009F3F44" w:rsidP="00F833F2">
                            <w:r>
                              <w:rPr>
                                <w:noProof/>
                                <w:lang w:eastAsia="fr-FR"/>
                              </w:rPr>
                              <w:drawing>
                                <wp:inline distT="0" distB="0" distL="0" distR="0" wp14:anchorId="78C50FAF" wp14:editId="3AF7AB47">
                                  <wp:extent cx="553972" cy="518160"/>
                                  <wp:effectExtent l="0" t="0" r="0" b="0"/>
                                  <wp:docPr id="4" name="Image 4" descr="Résultat de recherche d'images pour &quot;axlr satt&quot;"/>
                                  <wp:cNvGraphicFramePr/>
                                  <a:graphic xmlns:a="http://schemas.openxmlformats.org/drawingml/2006/main">
                                    <a:graphicData uri="http://schemas.openxmlformats.org/drawingml/2006/picture">
                                      <pic:pic xmlns:pic="http://schemas.openxmlformats.org/drawingml/2006/picture">
                                        <pic:nvPicPr>
                                          <pic:cNvPr id="16" name="Image 16" descr="Résultat de recherche d'images pour &quot;axlr satt&quot;"/>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57341" cy="521311"/>
                                          </a:xfrm>
                                          <a:prstGeom prst="rect">
                                            <a:avLst/>
                                          </a:prstGeom>
                                          <a:noFill/>
                                          <a:ln>
                                            <a:noFill/>
                                          </a:ln>
                                        </pic:spPr>
                                      </pic:pic>
                                    </a:graphicData>
                                  </a:graphic>
                                </wp:inline>
                              </w:drawing>
                            </w:r>
                          </w:p>
                        </w:txbxContent>
                      </v:textbox>
                    </v:shape>
                  </w:pict>
                </mc:Fallback>
              </mc:AlternateContent>
            </w:r>
          </w:p>
        </w:tc>
        <w:tc>
          <w:tcPr>
            <w:tcW w:w="2268" w:type="dxa"/>
            <w:vAlign w:val="center"/>
          </w:tcPr>
          <w:p w14:paraId="50CF416F" w14:textId="77777777" w:rsidR="00B55421" w:rsidRDefault="00F833F2" w:rsidP="009B2CE1">
            <w:pPr>
              <w:jc w:val="center"/>
              <w:rPr>
                <w:lang w:val="en-GB"/>
              </w:rPr>
            </w:pPr>
            <w:r>
              <w:rPr>
                <w:noProof/>
                <w:lang w:eastAsia="fr-FR"/>
              </w:rPr>
              <mc:AlternateContent>
                <mc:Choice Requires="wps">
                  <w:drawing>
                    <wp:anchor distT="0" distB="0" distL="114300" distR="114300" simplePos="0" relativeHeight="251703296" behindDoc="0" locked="0" layoutInCell="1" allowOverlap="1" wp14:anchorId="4FCADB0E" wp14:editId="1C557BEE">
                      <wp:simplePos x="0" y="0"/>
                      <wp:positionH relativeFrom="column">
                        <wp:posOffset>-36195</wp:posOffset>
                      </wp:positionH>
                      <wp:positionV relativeFrom="paragraph">
                        <wp:posOffset>47625</wp:posOffset>
                      </wp:positionV>
                      <wp:extent cx="1371600" cy="457200"/>
                      <wp:effectExtent l="0" t="0" r="0" b="0"/>
                      <wp:wrapNone/>
                      <wp:docPr id="20" name="Zone de texte 20"/>
                      <wp:cNvGraphicFramePr/>
                      <a:graphic xmlns:a="http://schemas.openxmlformats.org/drawingml/2006/main">
                        <a:graphicData uri="http://schemas.microsoft.com/office/word/2010/wordprocessingShape">
                          <wps:wsp>
                            <wps:cNvSpPr txBox="1"/>
                            <wps:spPr>
                              <a:xfrm>
                                <a:off x="0" y="0"/>
                                <a:ext cx="1371600" cy="457200"/>
                              </a:xfrm>
                              <a:prstGeom prst="rect">
                                <a:avLst/>
                              </a:prstGeom>
                              <a:solidFill>
                                <a:schemeClr val="lt1"/>
                              </a:solidFill>
                              <a:ln w="6350">
                                <a:noFill/>
                              </a:ln>
                            </wps:spPr>
                            <wps:txbx>
                              <w:txbxContent>
                                <w:p w14:paraId="5E89D185" w14:textId="50A3581A" w:rsidR="009F3F44" w:rsidRDefault="00C0650D" w:rsidP="00F833F2">
                                  <w:r>
                                    <w:rPr>
                                      <w:noProof/>
                                    </w:rPr>
                                    <w:drawing>
                                      <wp:inline distT="0" distB="0" distL="0" distR="0" wp14:anchorId="2577BA35" wp14:editId="49F01FB0">
                                        <wp:extent cx="1109345" cy="359410"/>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C06A_CONECTUS_logo_web et docs internes_baseline FR_BD_2018.png"/>
                                                <pic:cNvPicPr/>
                                              </pic:nvPicPr>
                                              <pic:blipFill>
                                                <a:blip r:embed="rId10">
                                                  <a:extLst>
                                                    <a:ext uri="{28A0092B-C50C-407E-A947-70E740481C1C}">
                                                      <a14:useLocalDpi xmlns:a14="http://schemas.microsoft.com/office/drawing/2010/main" val="0"/>
                                                    </a:ext>
                                                  </a:extLst>
                                                </a:blip>
                                                <a:stretch>
                                                  <a:fillRect/>
                                                </a:stretch>
                                              </pic:blipFill>
                                              <pic:spPr>
                                                <a:xfrm>
                                                  <a:off x="0" y="0"/>
                                                  <a:ext cx="1109345" cy="35941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CADB0E" id="Zone de texte 20" o:spid="_x0000_s1027" type="#_x0000_t202" style="position:absolute;left:0;text-align:left;margin-left:-2.85pt;margin-top:3.75pt;width:108pt;height:36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" fillcolor="white [3201]" stroked="f" strokeweight=".5pt">
                      <v:textbox>
                        <w:txbxContent>
                          <w:p w14:paraId="5E89D185" w14:textId="50A3581A" w:rsidR="009F3F44" w:rsidRDefault="00C0650D" w:rsidP="00F833F2">
                            <w:r>
                              <w:rPr>
                                <w:noProof/>
                              </w:rPr>
                              <w:drawing>
                                <wp:inline distT="0" distB="0" distL="0" distR="0" wp14:anchorId="2577BA35" wp14:editId="49F01FB0">
                                  <wp:extent cx="1109345" cy="359410"/>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C06A_CONECTUS_logo_web et docs internes_baseline FR_BD_2018.png"/>
                                          <pic:cNvPicPr/>
                                        </pic:nvPicPr>
                                        <pic:blipFill>
                                          <a:blip r:embed="rId10">
                                            <a:extLst>
                                              <a:ext uri="{28A0092B-C50C-407E-A947-70E740481C1C}">
                                                <a14:useLocalDpi xmlns:a14="http://schemas.microsoft.com/office/drawing/2010/main" val="0"/>
                                              </a:ext>
                                            </a:extLst>
                                          </a:blip>
                                          <a:stretch>
                                            <a:fillRect/>
                                          </a:stretch>
                                        </pic:blipFill>
                                        <pic:spPr>
                                          <a:xfrm>
                                            <a:off x="0" y="0"/>
                                            <a:ext cx="1109345" cy="359410"/>
                                          </a:xfrm>
                                          <a:prstGeom prst="rect">
                                            <a:avLst/>
                                          </a:prstGeom>
                                        </pic:spPr>
                                      </pic:pic>
                                    </a:graphicData>
                                  </a:graphic>
                                </wp:inline>
                              </w:drawing>
                            </w:r>
                          </w:p>
                        </w:txbxContent>
                      </v:textbox>
                    </v:shape>
                  </w:pict>
                </mc:Fallback>
              </mc:AlternateContent>
            </w:r>
          </w:p>
        </w:tc>
        <w:tc>
          <w:tcPr>
            <w:tcW w:w="2268" w:type="dxa"/>
            <w:vAlign w:val="center"/>
          </w:tcPr>
          <w:p w14:paraId="3A0E22FB" w14:textId="77777777" w:rsidR="00B55421" w:rsidRDefault="00F833F2" w:rsidP="009B2CE1">
            <w:pPr>
              <w:jc w:val="center"/>
              <w:rPr>
                <w:lang w:val="en-GB"/>
              </w:rPr>
            </w:pPr>
            <w:r>
              <w:rPr>
                <w:noProof/>
                <w:lang w:eastAsia="fr-FR"/>
              </w:rPr>
              <mc:AlternateContent>
                <mc:Choice Requires="wps">
                  <w:drawing>
                    <wp:anchor distT="0" distB="0" distL="114300" distR="114300" simplePos="0" relativeHeight="251705344" behindDoc="0" locked="0" layoutInCell="1" allowOverlap="1" wp14:anchorId="78C3D8A4" wp14:editId="6EBF8212">
                      <wp:simplePos x="0" y="0"/>
                      <wp:positionH relativeFrom="column">
                        <wp:posOffset>-43815</wp:posOffset>
                      </wp:positionH>
                      <wp:positionV relativeFrom="paragraph">
                        <wp:posOffset>43180</wp:posOffset>
                      </wp:positionV>
                      <wp:extent cx="1371600" cy="457200"/>
                      <wp:effectExtent l="0" t="0" r="0" b="0"/>
                      <wp:wrapNone/>
                      <wp:docPr id="22" name="Zone de texte 22"/>
                      <wp:cNvGraphicFramePr/>
                      <a:graphic xmlns:a="http://schemas.openxmlformats.org/drawingml/2006/main">
                        <a:graphicData uri="http://schemas.microsoft.com/office/word/2010/wordprocessingShape">
                          <wps:wsp>
                            <wps:cNvSpPr txBox="1"/>
                            <wps:spPr>
                              <a:xfrm>
                                <a:off x="0" y="0"/>
                                <a:ext cx="1371600" cy="457200"/>
                              </a:xfrm>
                              <a:prstGeom prst="rect">
                                <a:avLst/>
                              </a:prstGeom>
                              <a:solidFill>
                                <a:schemeClr val="lt1"/>
                              </a:solidFill>
                              <a:ln w="6350">
                                <a:noFill/>
                              </a:ln>
                            </wps:spPr>
                            <wps:txbx>
                              <w:txbxContent>
                                <w:p w14:paraId="3BC615DC" w14:textId="09BE33C8" w:rsidR="009F3F44" w:rsidRDefault="009F3F44" w:rsidP="00F833F2">
                                  <w:r>
                                    <w:rPr>
                                      <w:noProof/>
                                      <w:lang w:eastAsia="fr-FR"/>
                                    </w:rPr>
                                    <w:drawing>
                                      <wp:inline distT="0" distB="0" distL="0" distR="0" wp14:anchorId="60D53A53" wp14:editId="0C07A444">
                                        <wp:extent cx="1155065" cy="359410"/>
                                        <wp:effectExtent l="0" t="0" r="6985" b="254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SATT_RVB.png"/>
                                                <pic:cNvPicPr/>
                                              </pic:nvPicPr>
                                              <pic:blipFill>
                                                <a:blip r:embed="rId11">
                                                  <a:extLst>
                                                    <a:ext uri="{28A0092B-C50C-407E-A947-70E740481C1C}">
                                                      <a14:useLocalDpi xmlns:a14="http://schemas.microsoft.com/office/drawing/2010/main" val="0"/>
                                                    </a:ext>
                                                  </a:extLst>
                                                </a:blip>
                                                <a:stretch>
                                                  <a:fillRect/>
                                                </a:stretch>
                                              </pic:blipFill>
                                              <pic:spPr>
                                                <a:xfrm>
                                                  <a:off x="0" y="0"/>
                                                  <a:ext cx="1155065" cy="35941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C3D8A4" id="Zone de texte 22" o:spid="_x0000_s1028" type="#_x0000_t202" style="position:absolute;left:0;text-align:left;margin-left:-3.45pt;margin-top:3.4pt;width:108pt;height:36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" fillcolor="white [3201]" stroked="f" strokeweight=".5pt">
                      <v:textbox>
                        <w:txbxContent>
                          <w:p w14:paraId="3BC615DC" w14:textId="09BE33C8" w:rsidR="009F3F44" w:rsidRDefault="009F3F44" w:rsidP="00F833F2">
                            <w:r>
                              <w:rPr>
                                <w:noProof/>
                                <w:lang w:eastAsia="fr-FR"/>
                              </w:rPr>
                              <w:drawing>
                                <wp:inline distT="0" distB="0" distL="0" distR="0" wp14:anchorId="60D53A53" wp14:editId="0C07A444">
                                  <wp:extent cx="1155065" cy="359410"/>
                                  <wp:effectExtent l="0" t="0" r="6985" b="254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SATT_RVB.png"/>
                                          <pic:cNvPicPr/>
                                        </pic:nvPicPr>
                                        <pic:blipFill>
                                          <a:blip r:embed="rId11">
                                            <a:extLst>
                                              <a:ext uri="{28A0092B-C50C-407E-A947-70E740481C1C}">
                                                <a14:useLocalDpi xmlns:a14="http://schemas.microsoft.com/office/drawing/2010/main" val="0"/>
                                              </a:ext>
                                            </a:extLst>
                                          </a:blip>
                                          <a:stretch>
                                            <a:fillRect/>
                                          </a:stretch>
                                        </pic:blipFill>
                                        <pic:spPr>
                                          <a:xfrm>
                                            <a:off x="0" y="0"/>
                                            <a:ext cx="1155065" cy="359410"/>
                                          </a:xfrm>
                                          <a:prstGeom prst="rect">
                                            <a:avLst/>
                                          </a:prstGeom>
                                        </pic:spPr>
                                      </pic:pic>
                                    </a:graphicData>
                                  </a:graphic>
                                </wp:inline>
                              </w:drawing>
                            </w:r>
                          </w:p>
                        </w:txbxContent>
                      </v:textbox>
                    </v:shape>
                  </w:pict>
                </mc:Fallback>
              </mc:AlternateContent>
            </w:r>
          </w:p>
        </w:tc>
        <w:tc>
          <w:tcPr>
            <w:tcW w:w="2268" w:type="dxa"/>
            <w:vAlign w:val="center"/>
          </w:tcPr>
          <w:p w14:paraId="4B60C0FD" w14:textId="77777777" w:rsidR="00B55421" w:rsidRDefault="00F833F2" w:rsidP="009B2CE1">
            <w:pPr>
              <w:jc w:val="center"/>
              <w:rPr>
                <w:lang w:val="en-GB"/>
              </w:rPr>
            </w:pPr>
            <w:r>
              <w:rPr>
                <w:noProof/>
                <w:lang w:eastAsia="fr-FR"/>
              </w:rPr>
              <mc:AlternateContent>
                <mc:Choice Requires="wps">
                  <w:drawing>
                    <wp:anchor distT="0" distB="0" distL="114300" distR="114300" simplePos="0" relativeHeight="251707392" behindDoc="0" locked="0" layoutInCell="1" allowOverlap="1" wp14:anchorId="1D893644" wp14:editId="33F38C98">
                      <wp:simplePos x="0" y="0"/>
                      <wp:positionH relativeFrom="column">
                        <wp:posOffset>-50800</wp:posOffset>
                      </wp:positionH>
                      <wp:positionV relativeFrom="paragraph">
                        <wp:posOffset>34925</wp:posOffset>
                      </wp:positionV>
                      <wp:extent cx="1371600" cy="533400"/>
                      <wp:effectExtent l="0" t="0" r="0" b="0"/>
                      <wp:wrapNone/>
                      <wp:docPr id="56" name="Zone de texte 56"/>
                      <wp:cNvGraphicFramePr/>
                      <a:graphic xmlns:a="http://schemas.openxmlformats.org/drawingml/2006/main">
                        <a:graphicData uri="http://schemas.microsoft.com/office/word/2010/wordprocessingShape">
                          <wps:wsp>
                            <wps:cNvSpPr txBox="1"/>
                            <wps:spPr>
                              <a:xfrm>
                                <a:off x="0" y="0"/>
                                <a:ext cx="1371600" cy="533400"/>
                              </a:xfrm>
                              <a:prstGeom prst="rect">
                                <a:avLst/>
                              </a:prstGeom>
                              <a:solidFill>
                                <a:schemeClr val="lt1"/>
                              </a:solidFill>
                              <a:ln w="6350">
                                <a:noFill/>
                              </a:ln>
                            </wps:spPr>
                            <wps:txbx>
                              <w:txbxContent>
                                <w:p w14:paraId="1E07BE16" w14:textId="77777777" w:rsidR="009F3F44" w:rsidRDefault="009F3F44" w:rsidP="00F833F2">
                                  <w:r>
                                    <w:rPr>
                                      <w:noProof/>
                                      <w:lang w:eastAsia="fr-FR"/>
                                    </w:rPr>
                                    <w:drawing>
                                      <wp:inline distT="0" distB="0" distL="0" distR="0" wp14:anchorId="2C6EAA7A" wp14:editId="2C8ED77F">
                                        <wp:extent cx="1309111" cy="518160"/>
                                        <wp:effectExtent l="0" t="0" r="5715" b="0"/>
                                        <wp:docPr id="8" name="Image 8" descr="Image associée"/>
                                        <wp:cNvGraphicFramePr/>
                                        <a:graphic xmlns:a="http://schemas.openxmlformats.org/drawingml/2006/main">
                                          <a:graphicData uri="http://schemas.openxmlformats.org/drawingml/2006/picture">
                                            <pic:pic xmlns:pic="http://schemas.openxmlformats.org/drawingml/2006/picture">
                                              <pic:nvPicPr>
                                                <pic:cNvPr id="5" name="Image 5" descr="Image associée"/>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14175" cy="52016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893644" id="Zone de texte 56" o:spid="_x0000_s1029" type="#_x0000_t202" style="position:absolute;left:0;text-align:left;margin-left:-4pt;margin-top:2.75pt;width:108pt;height:42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" fillcolor="white [3201]" stroked="f" strokeweight=".5pt">
                      <v:textbox>
                        <w:txbxContent>
                          <w:p w14:paraId="1E07BE16" w14:textId="77777777" w:rsidR="009F3F44" w:rsidRDefault="009F3F44" w:rsidP="00F833F2">
                            <w:r>
                              <w:rPr>
                                <w:noProof/>
                                <w:lang w:eastAsia="fr-FR"/>
                              </w:rPr>
                              <w:drawing>
                                <wp:inline distT="0" distB="0" distL="0" distR="0" wp14:anchorId="2C6EAA7A" wp14:editId="2C8ED77F">
                                  <wp:extent cx="1309111" cy="518160"/>
                                  <wp:effectExtent l="0" t="0" r="5715" b="0"/>
                                  <wp:docPr id="8" name="Image 8" descr="Image associée"/>
                                  <wp:cNvGraphicFramePr/>
                                  <a:graphic xmlns:a="http://schemas.openxmlformats.org/drawingml/2006/main">
                                    <a:graphicData uri="http://schemas.openxmlformats.org/drawingml/2006/picture">
                                      <pic:pic xmlns:pic="http://schemas.openxmlformats.org/drawingml/2006/picture">
                                        <pic:nvPicPr>
                                          <pic:cNvPr id="5" name="Image 5" descr="Image associée"/>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14175" cy="520165"/>
                                          </a:xfrm>
                                          <a:prstGeom prst="rect">
                                            <a:avLst/>
                                          </a:prstGeom>
                                          <a:noFill/>
                                          <a:ln>
                                            <a:noFill/>
                                          </a:ln>
                                        </pic:spPr>
                                      </pic:pic>
                                    </a:graphicData>
                                  </a:graphic>
                                </wp:inline>
                              </w:drawing>
                            </w:r>
                          </w:p>
                        </w:txbxContent>
                      </v:textbox>
                    </v:shape>
                  </w:pict>
                </mc:Fallback>
              </mc:AlternateContent>
            </w:r>
          </w:p>
        </w:tc>
      </w:tr>
      <w:tr w:rsidR="00B55421" w14:paraId="1FE0A153" w14:textId="77777777" w:rsidTr="00892B2B">
        <w:tc>
          <w:tcPr>
            <w:tcW w:w="2268" w:type="dxa"/>
            <w:vAlign w:val="center"/>
          </w:tcPr>
          <w:p w14:paraId="61C793FB" w14:textId="4AC7D0F5" w:rsidR="00B55421" w:rsidRDefault="00D477BC" w:rsidP="009B2CE1">
            <w:pPr>
              <w:jc w:val="center"/>
              <w:rPr>
                <w:lang w:val="en-GB"/>
              </w:rPr>
            </w:pPr>
            <w:r>
              <w:rPr>
                <w:noProof/>
                <w:lang w:eastAsia="fr-FR"/>
              </w:rPr>
              <mc:AlternateContent>
                <mc:Choice Requires="wps">
                  <w:drawing>
                    <wp:anchor distT="0" distB="0" distL="114300" distR="114300" simplePos="0" relativeHeight="251717632" behindDoc="0" locked="0" layoutInCell="1" allowOverlap="1" wp14:anchorId="7C579544" wp14:editId="3914F52C">
                      <wp:simplePos x="0" y="0"/>
                      <wp:positionH relativeFrom="column">
                        <wp:posOffset>99060</wp:posOffset>
                      </wp:positionH>
                      <wp:positionV relativeFrom="paragraph">
                        <wp:posOffset>104140</wp:posOffset>
                      </wp:positionV>
                      <wp:extent cx="1371600" cy="693420"/>
                      <wp:effectExtent l="0" t="0" r="0" b="0"/>
                      <wp:wrapNone/>
                      <wp:docPr id="112" name="Zone de texte 112"/>
                      <wp:cNvGraphicFramePr/>
                      <a:graphic xmlns:a="http://schemas.openxmlformats.org/drawingml/2006/main">
                        <a:graphicData uri="http://schemas.microsoft.com/office/word/2010/wordprocessingShape">
                          <wps:wsp>
                            <wps:cNvSpPr txBox="1"/>
                            <wps:spPr>
                              <a:xfrm>
                                <a:off x="0" y="0"/>
                                <a:ext cx="1371600" cy="693420"/>
                              </a:xfrm>
                              <a:prstGeom prst="rect">
                                <a:avLst/>
                              </a:prstGeom>
                              <a:solidFill>
                                <a:schemeClr val="lt1"/>
                              </a:solidFill>
                              <a:ln w="6350">
                                <a:noFill/>
                              </a:ln>
                            </wps:spPr>
                            <wps:txbx>
                              <w:txbxContent>
                                <w:p w14:paraId="3A30710E" w14:textId="01BA6D32" w:rsidR="009F3F44" w:rsidRDefault="009F3F44" w:rsidP="00F833F2">
                                  <w:r>
                                    <w:rPr>
                                      <w:noProof/>
                                      <w:lang w:eastAsia="fr-FR"/>
                                    </w:rPr>
                                    <w:drawing>
                                      <wp:inline distT="0" distB="0" distL="0" distR="0" wp14:anchorId="67FBCD09" wp14:editId="34BD5D90">
                                        <wp:extent cx="1182370" cy="611928"/>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182370" cy="611928"/>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579544" id="Zone de texte 112" o:spid="_x0000_s1030" type="#_x0000_t202" style="position:absolute;left:0;text-align:left;margin-left:7.8pt;margin-top:8.2pt;width:108pt;height:54.6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" fillcolor="white [3201]" stroked="f" strokeweight=".5pt">
                      <v:textbox>
                        <w:txbxContent>
                          <w:p w14:paraId="3A30710E" w14:textId="01BA6D32" w:rsidR="009F3F44" w:rsidRDefault="009F3F44" w:rsidP="00F833F2">
                            <w:r>
                              <w:rPr>
                                <w:noProof/>
                                <w:lang w:eastAsia="fr-FR"/>
                              </w:rPr>
                              <w:drawing>
                                <wp:inline distT="0" distB="0" distL="0" distR="0" wp14:anchorId="67FBCD09" wp14:editId="34BD5D90">
                                  <wp:extent cx="1182370" cy="611928"/>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182370" cy="611928"/>
                                          </a:xfrm>
                                          <a:prstGeom prst="rect">
                                            <a:avLst/>
                                          </a:prstGeom>
                                        </pic:spPr>
                                      </pic:pic>
                                    </a:graphicData>
                                  </a:graphic>
                                </wp:inline>
                              </w:drawing>
                            </w:r>
                          </w:p>
                        </w:txbxContent>
                      </v:textbox>
                    </v:shape>
                  </w:pict>
                </mc:Fallback>
              </mc:AlternateContent>
            </w:r>
          </w:p>
          <w:p w14:paraId="4084F553" w14:textId="041C1228" w:rsidR="00B55421" w:rsidRDefault="00B55421" w:rsidP="009B2CE1">
            <w:pPr>
              <w:jc w:val="center"/>
              <w:rPr>
                <w:lang w:val="en-GB"/>
              </w:rPr>
            </w:pPr>
          </w:p>
          <w:p w14:paraId="47C455A2" w14:textId="4C1B4674" w:rsidR="00B55421" w:rsidRDefault="00B55421" w:rsidP="009B2CE1">
            <w:pPr>
              <w:jc w:val="center"/>
              <w:rPr>
                <w:lang w:val="en-GB"/>
              </w:rPr>
            </w:pPr>
          </w:p>
          <w:p w14:paraId="5215F195" w14:textId="77777777" w:rsidR="00B55421" w:rsidRDefault="00B55421" w:rsidP="009B2CE1">
            <w:pPr>
              <w:jc w:val="center"/>
              <w:rPr>
                <w:lang w:val="en-GB"/>
              </w:rPr>
            </w:pPr>
          </w:p>
          <w:p w14:paraId="2EE1B0C7" w14:textId="77777777" w:rsidR="00B55421" w:rsidRDefault="00B55421" w:rsidP="009B2CE1">
            <w:pPr>
              <w:jc w:val="center"/>
              <w:rPr>
                <w:lang w:val="en-GB"/>
              </w:rPr>
            </w:pPr>
          </w:p>
        </w:tc>
        <w:tc>
          <w:tcPr>
            <w:tcW w:w="2268" w:type="dxa"/>
            <w:vAlign w:val="center"/>
          </w:tcPr>
          <w:p w14:paraId="23479F5B" w14:textId="77777777" w:rsidR="00B55421" w:rsidRDefault="00F833F2" w:rsidP="009B2CE1">
            <w:pPr>
              <w:jc w:val="center"/>
              <w:rPr>
                <w:lang w:val="en-GB"/>
              </w:rPr>
            </w:pPr>
            <w:r>
              <w:rPr>
                <w:noProof/>
                <w:lang w:eastAsia="fr-FR"/>
              </w:rPr>
              <mc:AlternateContent>
                <mc:Choice Requires="wps">
                  <w:drawing>
                    <wp:anchor distT="0" distB="0" distL="114300" distR="114300" simplePos="0" relativeHeight="251715584" behindDoc="0" locked="0" layoutInCell="1" allowOverlap="1" wp14:anchorId="55FC42AF" wp14:editId="4997088B">
                      <wp:simplePos x="0" y="0"/>
                      <wp:positionH relativeFrom="column">
                        <wp:posOffset>26035</wp:posOffset>
                      </wp:positionH>
                      <wp:positionV relativeFrom="paragraph">
                        <wp:posOffset>57785</wp:posOffset>
                      </wp:positionV>
                      <wp:extent cx="1219200" cy="615950"/>
                      <wp:effectExtent l="0" t="0" r="0" b="0"/>
                      <wp:wrapNone/>
                      <wp:docPr id="110" name="Zone de texte 110"/>
                      <wp:cNvGraphicFramePr/>
                      <a:graphic xmlns:a="http://schemas.openxmlformats.org/drawingml/2006/main">
                        <a:graphicData uri="http://schemas.microsoft.com/office/word/2010/wordprocessingShape">
                          <wps:wsp>
                            <wps:cNvSpPr txBox="1"/>
                            <wps:spPr>
                              <a:xfrm>
                                <a:off x="0" y="0"/>
                                <a:ext cx="1219200" cy="615950"/>
                              </a:xfrm>
                              <a:prstGeom prst="rect">
                                <a:avLst/>
                              </a:prstGeom>
                              <a:solidFill>
                                <a:schemeClr val="lt1"/>
                              </a:solidFill>
                              <a:ln w="6350">
                                <a:noFill/>
                              </a:ln>
                            </wps:spPr>
                            <wps:txbx>
                              <w:txbxContent>
                                <w:p w14:paraId="05351076" w14:textId="77777777" w:rsidR="009F3F44" w:rsidRDefault="009F3F44" w:rsidP="00F833F2">
                                  <w:r>
                                    <w:rPr>
                                      <w:noProof/>
                                      <w:lang w:eastAsia="fr-FR"/>
                                    </w:rPr>
                                    <w:drawing>
                                      <wp:inline distT="0" distB="0" distL="0" distR="0" wp14:anchorId="23A1C623" wp14:editId="103AE5D0">
                                        <wp:extent cx="1051560" cy="509402"/>
                                        <wp:effectExtent l="0" t="0" r="0" b="5080"/>
                                        <wp:docPr id="10" name="Image 10"/>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58719" cy="51287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FC42AF" id="Zone de texte 110" o:spid="_x0000_s1031" type="#_x0000_t202" style="position:absolute;left:0;text-align:left;margin-left:2.05pt;margin-top:4.55pt;width:96pt;height:48.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" fillcolor="white [3201]" stroked="f" strokeweight=".5pt">
                      <v:textbox>
                        <w:txbxContent>
                          <w:p w14:paraId="05351076" w14:textId="77777777" w:rsidR="009F3F44" w:rsidRDefault="009F3F44" w:rsidP="00F833F2">
                            <w:r>
                              <w:rPr>
                                <w:noProof/>
                                <w:lang w:eastAsia="fr-FR"/>
                              </w:rPr>
                              <w:drawing>
                                <wp:inline distT="0" distB="0" distL="0" distR="0" wp14:anchorId="23A1C623" wp14:editId="103AE5D0">
                                  <wp:extent cx="1051560" cy="509402"/>
                                  <wp:effectExtent l="0" t="0" r="0" b="5080"/>
                                  <wp:docPr id="10" name="Image 10"/>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58719" cy="512870"/>
                                          </a:xfrm>
                                          <a:prstGeom prst="rect">
                                            <a:avLst/>
                                          </a:prstGeom>
                                          <a:noFill/>
                                          <a:ln>
                                            <a:noFill/>
                                          </a:ln>
                                        </pic:spPr>
                                      </pic:pic>
                                    </a:graphicData>
                                  </a:graphic>
                                </wp:inline>
                              </w:drawing>
                            </w:r>
                          </w:p>
                        </w:txbxContent>
                      </v:textbox>
                    </v:shape>
                  </w:pict>
                </mc:Fallback>
              </mc:AlternateContent>
            </w:r>
          </w:p>
        </w:tc>
        <w:tc>
          <w:tcPr>
            <w:tcW w:w="2268" w:type="dxa"/>
            <w:vAlign w:val="center"/>
          </w:tcPr>
          <w:p w14:paraId="0DB93077" w14:textId="1F4A0E07" w:rsidR="00B55421" w:rsidRDefault="00193295" w:rsidP="009B2CE1">
            <w:pPr>
              <w:jc w:val="center"/>
              <w:rPr>
                <w:lang w:val="en-GB"/>
              </w:rPr>
            </w:pPr>
            <w:r>
              <w:rPr>
                <w:noProof/>
                <w:lang w:eastAsia="fr-FR"/>
              </w:rPr>
              <mc:AlternateContent>
                <mc:Choice Requires="wps">
                  <w:drawing>
                    <wp:anchor distT="0" distB="0" distL="114300" distR="114300" simplePos="0" relativeHeight="251711488" behindDoc="0" locked="0" layoutInCell="1" allowOverlap="1" wp14:anchorId="7D09E8E1" wp14:editId="1BA22F6B">
                      <wp:simplePos x="0" y="0"/>
                      <wp:positionH relativeFrom="column">
                        <wp:posOffset>10795</wp:posOffset>
                      </wp:positionH>
                      <wp:positionV relativeFrom="paragraph">
                        <wp:posOffset>40640</wp:posOffset>
                      </wp:positionV>
                      <wp:extent cx="1371600" cy="518160"/>
                      <wp:effectExtent l="0" t="0" r="0" b="0"/>
                      <wp:wrapNone/>
                      <wp:docPr id="106" name="Zone de texte 106"/>
                      <wp:cNvGraphicFramePr/>
                      <a:graphic xmlns:a="http://schemas.openxmlformats.org/drawingml/2006/main">
                        <a:graphicData uri="http://schemas.microsoft.com/office/word/2010/wordprocessingShape">
                          <wps:wsp>
                            <wps:cNvSpPr txBox="1"/>
                            <wps:spPr>
                              <a:xfrm>
                                <a:off x="0" y="0"/>
                                <a:ext cx="1371600" cy="518160"/>
                              </a:xfrm>
                              <a:prstGeom prst="rect">
                                <a:avLst/>
                              </a:prstGeom>
                              <a:solidFill>
                                <a:schemeClr val="lt1"/>
                              </a:solidFill>
                              <a:ln w="6350">
                                <a:noFill/>
                              </a:ln>
                            </wps:spPr>
                            <wps:txbx>
                              <w:txbxContent>
                                <w:p w14:paraId="522DDB8B" w14:textId="77777777" w:rsidR="009F3F44" w:rsidRDefault="009F3F44">
                                  <w:r>
                                    <w:rPr>
                                      <w:noProof/>
                                      <w:lang w:eastAsia="fr-FR"/>
                                    </w:rPr>
                                    <w:drawing>
                                      <wp:inline distT="0" distB="0" distL="0" distR="0" wp14:anchorId="490B59A8" wp14:editId="537B6E14">
                                        <wp:extent cx="1182370" cy="481965"/>
                                        <wp:effectExtent l="0" t="0" r="0" b="0"/>
                                        <wp:docPr id="14" name="Image 14" descr="C:\Users\mcontrastin\AppData\Local\Microsoft\Windows\INetCache\Content.Word\Lutech_Logo.png"/>
                                        <wp:cNvGraphicFramePr/>
                                        <a:graphic xmlns:a="http://schemas.openxmlformats.org/drawingml/2006/main">
                                          <a:graphicData uri="http://schemas.openxmlformats.org/drawingml/2006/picture">
                                            <pic:pic xmlns:pic="http://schemas.openxmlformats.org/drawingml/2006/picture">
                                              <pic:nvPicPr>
                                                <pic:cNvPr id="26" name="Image 26" descr="C:\Users\mcontrastin\AppData\Local\Microsoft\Windows\INetCache\Content.Word\Lutech_Logo.png"/>
                                                <pic:cNvPicPr/>
                                              </pic:nvPicPr>
                                              <pic:blipFill rotWithShape="1">
                                                <a:blip r:embed="rId15" cstate="print">
                                                  <a:extLst>
                                                    <a:ext uri="{28A0092B-C50C-407E-A947-70E740481C1C}">
                                                      <a14:useLocalDpi xmlns:a14="http://schemas.microsoft.com/office/drawing/2010/main" val="0"/>
                                                    </a:ext>
                                                  </a:extLst>
                                                </a:blip>
                                                <a:srcRect t="13929" b="13637"/>
                                                <a:stretch/>
                                              </pic:blipFill>
                                              <pic:spPr bwMode="auto">
                                                <a:xfrm>
                                                  <a:off x="0" y="0"/>
                                                  <a:ext cx="1182370" cy="481965"/>
                                                </a:xfrm>
                                                <a:prstGeom prst="rect">
                                                  <a:avLst/>
                                                </a:prstGeom>
                                                <a:noFill/>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09E8E1" id="Zone de texte 106" o:spid="_x0000_s1032" type="#_x0000_t202" style="position:absolute;left:0;text-align:left;margin-left:.85pt;margin-top:3.2pt;width:108pt;height:40.8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" fillcolor="white [3201]" stroked="f" strokeweight=".5pt">
                      <v:textbox>
                        <w:txbxContent>
                          <w:p w14:paraId="522DDB8B" w14:textId="77777777" w:rsidR="009F3F44" w:rsidRDefault="009F3F44">
                            <w:r>
                              <w:rPr>
                                <w:noProof/>
                                <w:lang w:eastAsia="fr-FR"/>
                              </w:rPr>
                              <w:drawing>
                                <wp:inline distT="0" distB="0" distL="0" distR="0" wp14:anchorId="490B59A8" wp14:editId="537B6E14">
                                  <wp:extent cx="1182370" cy="481965"/>
                                  <wp:effectExtent l="0" t="0" r="0" b="0"/>
                                  <wp:docPr id="14" name="Image 14" descr="C:\Users\mcontrastin\AppData\Local\Microsoft\Windows\INetCache\Content.Word\Lutech_Logo.png"/>
                                  <wp:cNvGraphicFramePr/>
                                  <a:graphic xmlns:a="http://schemas.openxmlformats.org/drawingml/2006/main">
                                    <a:graphicData uri="http://schemas.openxmlformats.org/drawingml/2006/picture">
                                      <pic:pic xmlns:pic="http://schemas.openxmlformats.org/drawingml/2006/picture">
                                        <pic:nvPicPr>
                                          <pic:cNvPr id="26" name="Image 26" descr="C:\Users\mcontrastin\AppData\Local\Microsoft\Windows\INetCache\Content.Word\Lutech_Logo.png"/>
                                          <pic:cNvPicPr/>
                                        </pic:nvPicPr>
                                        <pic:blipFill rotWithShape="1">
                                          <a:blip r:embed="rId15" cstate="print">
                                            <a:extLst>
                                              <a:ext uri="{28A0092B-C50C-407E-A947-70E740481C1C}">
                                                <a14:useLocalDpi xmlns:a14="http://schemas.microsoft.com/office/drawing/2010/main" val="0"/>
                                              </a:ext>
                                            </a:extLst>
                                          </a:blip>
                                          <a:srcRect t="13929" b="13637"/>
                                          <a:stretch/>
                                        </pic:blipFill>
                                        <pic:spPr bwMode="auto">
                                          <a:xfrm>
                                            <a:off x="0" y="0"/>
                                            <a:ext cx="1182370" cy="481965"/>
                                          </a:xfrm>
                                          <a:prstGeom prst="rect">
                                            <a:avLst/>
                                          </a:prstGeom>
                                          <a:noFill/>
                                          <a:ln>
                                            <a:noFill/>
                                          </a:ln>
                                          <a:extLst>
                                            <a:ext uri="{53640926-AAD7-44D8-BBD7-CCE9431645EC}">
                                              <a14:shadowObscured xmlns:a14="http://schemas.microsoft.com/office/drawing/2010/main"/>
                                            </a:ext>
                                          </a:extLst>
                                        </pic:spPr>
                                      </pic:pic>
                                    </a:graphicData>
                                  </a:graphic>
                                </wp:inline>
                              </w:drawing>
                            </w:r>
                          </w:p>
                        </w:txbxContent>
                      </v:textbox>
                    </v:shape>
                  </w:pict>
                </mc:Fallback>
              </mc:AlternateContent>
            </w:r>
          </w:p>
        </w:tc>
        <w:tc>
          <w:tcPr>
            <w:tcW w:w="2268" w:type="dxa"/>
            <w:vAlign w:val="center"/>
          </w:tcPr>
          <w:p w14:paraId="148506DF" w14:textId="77777777" w:rsidR="00B55421" w:rsidRDefault="00F833F2" w:rsidP="009B2CE1">
            <w:pPr>
              <w:jc w:val="center"/>
              <w:rPr>
                <w:lang w:val="en-GB"/>
              </w:rPr>
            </w:pPr>
            <w:r>
              <w:rPr>
                <w:noProof/>
                <w:lang w:eastAsia="fr-FR"/>
              </w:rPr>
              <mc:AlternateContent>
                <mc:Choice Requires="wps">
                  <w:drawing>
                    <wp:anchor distT="0" distB="0" distL="114300" distR="114300" simplePos="0" relativeHeight="251727872" behindDoc="0" locked="0" layoutInCell="1" allowOverlap="1" wp14:anchorId="7898F17D" wp14:editId="1E753941">
                      <wp:simplePos x="0" y="0"/>
                      <wp:positionH relativeFrom="column">
                        <wp:posOffset>-27940</wp:posOffset>
                      </wp:positionH>
                      <wp:positionV relativeFrom="paragraph">
                        <wp:posOffset>15240</wp:posOffset>
                      </wp:positionV>
                      <wp:extent cx="1348740" cy="643890"/>
                      <wp:effectExtent l="0" t="0" r="3810" b="3810"/>
                      <wp:wrapNone/>
                      <wp:docPr id="122" name="Zone de texte 122"/>
                      <wp:cNvGraphicFramePr/>
                      <a:graphic xmlns:a="http://schemas.openxmlformats.org/drawingml/2006/main">
                        <a:graphicData uri="http://schemas.microsoft.com/office/word/2010/wordprocessingShape">
                          <wps:wsp>
                            <wps:cNvSpPr txBox="1"/>
                            <wps:spPr>
                              <a:xfrm>
                                <a:off x="0" y="0"/>
                                <a:ext cx="1348740" cy="643890"/>
                              </a:xfrm>
                              <a:prstGeom prst="rect">
                                <a:avLst/>
                              </a:prstGeom>
                              <a:solidFill>
                                <a:schemeClr val="lt1"/>
                              </a:solidFill>
                              <a:ln w="6350">
                                <a:noFill/>
                              </a:ln>
                            </wps:spPr>
                            <wps:txbx>
                              <w:txbxContent>
                                <w:p w14:paraId="0D4F0AB7" w14:textId="77777777" w:rsidR="009F3F44" w:rsidRDefault="009F3F44" w:rsidP="00F833F2">
                                  <w:r>
                                    <w:rPr>
                                      <w:noProof/>
                                      <w:lang w:eastAsia="fr-FR"/>
                                    </w:rPr>
                                    <w:drawing>
                                      <wp:inline distT="0" distB="0" distL="0" distR="0" wp14:anchorId="323863C4" wp14:editId="38582661">
                                        <wp:extent cx="1182370" cy="537210"/>
                                        <wp:effectExtent l="0" t="0" r="0" b="0"/>
                                        <wp:docPr id="12" name="Image 12" descr="Résultat de recherche d'images pour &quot;satt idf innov&quot;"/>
                                        <wp:cNvGraphicFramePr/>
                                        <a:graphic xmlns:a="http://schemas.openxmlformats.org/drawingml/2006/main">
                                          <a:graphicData uri="http://schemas.openxmlformats.org/drawingml/2006/picture">
                                            <pic:pic xmlns:pic="http://schemas.openxmlformats.org/drawingml/2006/picture">
                                              <pic:nvPicPr>
                                                <pic:cNvPr id="10" name="Image 10" descr="Résultat de recherche d'images pour &quot;satt idf innov&quot;"/>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82370" cy="53721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98F17D" id="Zone de texte 122" o:spid="_x0000_s1033" type="#_x0000_t202" style="position:absolute;left:0;text-align:left;margin-left:-2.2pt;margin-top:1.2pt;width:106.2pt;height:50.7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" fillcolor="white [3201]" stroked="f" strokeweight=".5pt">
                      <v:textbox>
                        <w:txbxContent>
                          <w:p w14:paraId="0D4F0AB7" w14:textId="77777777" w:rsidR="009F3F44" w:rsidRDefault="009F3F44" w:rsidP="00F833F2">
                            <w:r>
                              <w:rPr>
                                <w:noProof/>
                                <w:lang w:eastAsia="fr-FR"/>
                              </w:rPr>
                              <w:drawing>
                                <wp:inline distT="0" distB="0" distL="0" distR="0" wp14:anchorId="323863C4" wp14:editId="38582661">
                                  <wp:extent cx="1182370" cy="537210"/>
                                  <wp:effectExtent l="0" t="0" r="0" b="0"/>
                                  <wp:docPr id="12" name="Image 12" descr="Résultat de recherche d'images pour &quot;satt idf innov&quot;"/>
                                  <wp:cNvGraphicFramePr/>
                                  <a:graphic xmlns:a="http://schemas.openxmlformats.org/drawingml/2006/main">
                                    <a:graphicData uri="http://schemas.openxmlformats.org/drawingml/2006/picture">
                                      <pic:pic xmlns:pic="http://schemas.openxmlformats.org/drawingml/2006/picture">
                                        <pic:nvPicPr>
                                          <pic:cNvPr id="10" name="Image 10" descr="Résultat de recherche d'images pour &quot;satt idf innov&quot;"/>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82370" cy="537210"/>
                                          </a:xfrm>
                                          <a:prstGeom prst="rect">
                                            <a:avLst/>
                                          </a:prstGeom>
                                          <a:noFill/>
                                          <a:ln>
                                            <a:noFill/>
                                          </a:ln>
                                        </pic:spPr>
                                      </pic:pic>
                                    </a:graphicData>
                                  </a:graphic>
                                </wp:inline>
                              </w:drawing>
                            </w:r>
                          </w:p>
                        </w:txbxContent>
                      </v:textbox>
                    </v:shape>
                  </w:pict>
                </mc:Fallback>
              </mc:AlternateContent>
            </w:r>
          </w:p>
        </w:tc>
        <w:tc>
          <w:tcPr>
            <w:tcW w:w="2268" w:type="dxa"/>
            <w:vAlign w:val="center"/>
          </w:tcPr>
          <w:p w14:paraId="4E6550FC" w14:textId="77777777" w:rsidR="00B55421" w:rsidRDefault="00F833F2" w:rsidP="009B2CE1">
            <w:pPr>
              <w:jc w:val="center"/>
              <w:rPr>
                <w:lang w:val="en-GB"/>
              </w:rPr>
            </w:pPr>
            <w:r>
              <w:rPr>
                <w:noProof/>
                <w:lang w:eastAsia="fr-FR"/>
              </w:rPr>
              <mc:AlternateContent>
                <mc:Choice Requires="wps">
                  <w:drawing>
                    <wp:anchor distT="0" distB="0" distL="114300" distR="114300" simplePos="0" relativeHeight="251734016" behindDoc="0" locked="0" layoutInCell="1" allowOverlap="1" wp14:anchorId="12223B5F" wp14:editId="464C6D4C">
                      <wp:simplePos x="0" y="0"/>
                      <wp:positionH relativeFrom="column">
                        <wp:posOffset>-38100</wp:posOffset>
                      </wp:positionH>
                      <wp:positionV relativeFrom="paragraph">
                        <wp:posOffset>48260</wp:posOffset>
                      </wp:positionV>
                      <wp:extent cx="1371600" cy="457200"/>
                      <wp:effectExtent l="0" t="0" r="0" b="0"/>
                      <wp:wrapNone/>
                      <wp:docPr id="128" name="Zone de texte 128"/>
                      <wp:cNvGraphicFramePr/>
                      <a:graphic xmlns:a="http://schemas.openxmlformats.org/drawingml/2006/main">
                        <a:graphicData uri="http://schemas.microsoft.com/office/word/2010/wordprocessingShape">
                          <wps:wsp>
                            <wps:cNvSpPr txBox="1"/>
                            <wps:spPr>
                              <a:xfrm>
                                <a:off x="0" y="0"/>
                                <a:ext cx="1371600" cy="457200"/>
                              </a:xfrm>
                              <a:prstGeom prst="rect">
                                <a:avLst/>
                              </a:prstGeom>
                              <a:solidFill>
                                <a:schemeClr val="lt1"/>
                              </a:solidFill>
                              <a:ln w="6350">
                                <a:noFill/>
                              </a:ln>
                            </wps:spPr>
                            <wps:txbx>
                              <w:txbxContent>
                                <w:p w14:paraId="2FD2B10F" w14:textId="77777777" w:rsidR="009F3F44" w:rsidRDefault="009F3F44" w:rsidP="00F833F2">
                                  <w:r>
                                    <w:rPr>
                                      <w:noProof/>
                                      <w:lang w:eastAsia="fr-FR"/>
                                    </w:rPr>
                                    <w:drawing>
                                      <wp:inline distT="0" distB="0" distL="0" distR="0" wp14:anchorId="28C5185A" wp14:editId="2C44089E">
                                        <wp:extent cx="1182370" cy="340995"/>
                                        <wp:effectExtent l="0" t="0" r="0" b="1905"/>
                                        <wp:docPr id="13" name="Image 13" descr="Résultat de recherche d'images pour &quot;satt ouest valorisation&quot;"/>
                                        <wp:cNvGraphicFramePr/>
                                        <a:graphic xmlns:a="http://schemas.openxmlformats.org/drawingml/2006/main">
                                          <a:graphicData uri="http://schemas.openxmlformats.org/drawingml/2006/picture">
                                            <pic:pic xmlns:pic="http://schemas.openxmlformats.org/drawingml/2006/picture">
                                              <pic:nvPicPr>
                                                <pic:cNvPr id="11" name="Image 11" descr="Résultat de recherche d'images pour &quot;satt ouest valorisation&quot;"/>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82370" cy="34099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223B5F" id="Zone de texte 128" o:spid="_x0000_s1034" type="#_x0000_t202" style="position:absolute;left:0;text-align:left;margin-left:-3pt;margin-top:3.8pt;width:108pt;height:36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" fillcolor="white [3201]" stroked="f" strokeweight=".5pt">
                      <v:textbox>
                        <w:txbxContent>
                          <w:p w14:paraId="2FD2B10F" w14:textId="77777777" w:rsidR="009F3F44" w:rsidRDefault="009F3F44" w:rsidP="00F833F2">
                            <w:r>
                              <w:rPr>
                                <w:noProof/>
                                <w:lang w:eastAsia="fr-FR"/>
                              </w:rPr>
                              <w:drawing>
                                <wp:inline distT="0" distB="0" distL="0" distR="0" wp14:anchorId="28C5185A" wp14:editId="2C44089E">
                                  <wp:extent cx="1182370" cy="340995"/>
                                  <wp:effectExtent l="0" t="0" r="0" b="1905"/>
                                  <wp:docPr id="13" name="Image 13" descr="Résultat de recherche d'images pour &quot;satt ouest valorisation&quot;"/>
                                  <wp:cNvGraphicFramePr/>
                                  <a:graphic xmlns:a="http://schemas.openxmlformats.org/drawingml/2006/main">
                                    <a:graphicData uri="http://schemas.openxmlformats.org/drawingml/2006/picture">
                                      <pic:pic xmlns:pic="http://schemas.openxmlformats.org/drawingml/2006/picture">
                                        <pic:nvPicPr>
                                          <pic:cNvPr id="11" name="Image 11" descr="Résultat de recherche d'images pour &quot;satt ouest valorisation&quot;"/>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82370" cy="340995"/>
                                          </a:xfrm>
                                          <a:prstGeom prst="rect">
                                            <a:avLst/>
                                          </a:prstGeom>
                                          <a:noFill/>
                                          <a:ln>
                                            <a:noFill/>
                                          </a:ln>
                                        </pic:spPr>
                                      </pic:pic>
                                    </a:graphicData>
                                  </a:graphic>
                                </wp:inline>
                              </w:drawing>
                            </w:r>
                          </w:p>
                        </w:txbxContent>
                      </v:textbox>
                    </v:shape>
                  </w:pict>
                </mc:Fallback>
              </mc:AlternateContent>
            </w:r>
          </w:p>
        </w:tc>
      </w:tr>
      <w:tr w:rsidR="00B55421" w14:paraId="55A8F8C3" w14:textId="77777777" w:rsidTr="00892B2B">
        <w:tc>
          <w:tcPr>
            <w:tcW w:w="2268" w:type="dxa"/>
            <w:vAlign w:val="center"/>
          </w:tcPr>
          <w:p w14:paraId="0799B576" w14:textId="71E9B7F4" w:rsidR="00B55421" w:rsidRDefault="00B55421" w:rsidP="009B2CE1">
            <w:pPr>
              <w:jc w:val="center"/>
              <w:rPr>
                <w:lang w:val="en-GB"/>
              </w:rPr>
            </w:pPr>
          </w:p>
          <w:p w14:paraId="2ED32E35" w14:textId="77777777" w:rsidR="00B55421" w:rsidRDefault="00B55421" w:rsidP="009B2CE1">
            <w:pPr>
              <w:jc w:val="center"/>
              <w:rPr>
                <w:lang w:val="en-GB"/>
              </w:rPr>
            </w:pPr>
          </w:p>
          <w:p w14:paraId="76A085E3" w14:textId="77777777" w:rsidR="00B55421" w:rsidRDefault="00B55421" w:rsidP="009B2CE1">
            <w:pPr>
              <w:jc w:val="center"/>
              <w:rPr>
                <w:lang w:val="en-GB"/>
              </w:rPr>
            </w:pPr>
          </w:p>
          <w:p w14:paraId="073D3F1E" w14:textId="77777777" w:rsidR="00B55421" w:rsidRDefault="00B55421" w:rsidP="009B2CE1">
            <w:pPr>
              <w:jc w:val="center"/>
              <w:rPr>
                <w:lang w:val="en-GB"/>
              </w:rPr>
            </w:pPr>
          </w:p>
          <w:p w14:paraId="53AB19DE" w14:textId="77777777" w:rsidR="00B55421" w:rsidRDefault="00B55421" w:rsidP="009B2CE1">
            <w:pPr>
              <w:jc w:val="center"/>
              <w:rPr>
                <w:lang w:val="en-GB"/>
              </w:rPr>
            </w:pPr>
          </w:p>
        </w:tc>
        <w:tc>
          <w:tcPr>
            <w:tcW w:w="2268" w:type="dxa"/>
            <w:vAlign w:val="center"/>
          </w:tcPr>
          <w:p w14:paraId="660C4DC9" w14:textId="5FD591DF" w:rsidR="00B55421" w:rsidRDefault="00B55421" w:rsidP="009B2CE1">
            <w:pPr>
              <w:jc w:val="center"/>
              <w:rPr>
                <w:lang w:val="en-GB"/>
              </w:rPr>
            </w:pPr>
          </w:p>
        </w:tc>
        <w:tc>
          <w:tcPr>
            <w:tcW w:w="2268" w:type="dxa"/>
            <w:vAlign w:val="center"/>
          </w:tcPr>
          <w:p w14:paraId="011106B1" w14:textId="0B522E81" w:rsidR="00B55421" w:rsidRDefault="00193295" w:rsidP="009B2CE1">
            <w:pPr>
              <w:jc w:val="center"/>
              <w:rPr>
                <w:lang w:val="en-GB"/>
              </w:rPr>
            </w:pPr>
            <w:r>
              <w:rPr>
                <w:noProof/>
                <w:lang w:eastAsia="fr-FR"/>
              </w:rPr>
              <w:drawing>
                <wp:inline distT="0" distB="0" distL="0" distR="0" wp14:anchorId="6ACECB00" wp14:editId="1A4EAB6D">
                  <wp:extent cx="718876" cy="366395"/>
                  <wp:effectExtent l="0" t="0" r="5080" b="0"/>
                  <wp:docPr id="168" name="Image 168" descr="C:\Users\Lydwine HENEAULT.SATT\AppData\Local\Microsoft\Windows\INetCache\Content.Word\LOGO SATT 2014 0910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Lydwine HENEAULT.SATT\AppData\Local\Microsoft\Windows\INetCache\Content.Word\LOGO SATT 2014 091014.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732076" cy="373123"/>
                          </a:xfrm>
                          <a:prstGeom prst="rect">
                            <a:avLst/>
                          </a:prstGeom>
                          <a:noFill/>
                          <a:ln>
                            <a:noFill/>
                          </a:ln>
                        </pic:spPr>
                      </pic:pic>
                    </a:graphicData>
                  </a:graphic>
                </wp:inline>
              </w:drawing>
            </w:r>
          </w:p>
        </w:tc>
        <w:tc>
          <w:tcPr>
            <w:tcW w:w="2268" w:type="dxa"/>
            <w:vAlign w:val="center"/>
          </w:tcPr>
          <w:p w14:paraId="053A72A5" w14:textId="201FC750" w:rsidR="00B55421" w:rsidRDefault="00B55421" w:rsidP="009B2CE1">
            <w:pPr>
              <w:jc w:val="center"/>
              <w:rPr>
                <w:lang w:val="en-GB"/>
              </w:rPr>
            </w:pPr>
          </w:p>
        </w:tc>
        <w:tc>
          <w:tcPr>
            <w:tcW w:w="2268" w:type="dxa"/>
            <w:vAlign w:val="center"/>
          </w:tcPr>
          <w:p w14:paraId="2E4CDC37" w14:textId="5F1851D2" w:rsidR="00B55421" w:rsidRDefault="00B55421" w:rsidP="009B2CE1">
            <w:pPr>
              <w:jc w:val="center"/>
              <w:rPr>
                <w:lang w:val="en-GB"/>
              </w:rPr>
            </w:pPr>
          </w:p>
        </w:tc>
      </w:tr>
    </w:tbl>
    <w:p w14:paraId="4291A354" w14:textId="3FB1D2DC" w:rsidR="009E76C8" w:rsidRDefault="007F25AF" w:rsidP="004D7C5C">
      <w:pPr>
        <w:jc w:val="center"/>
        <w:rPr>
          <w:b/>
          <w:color w:val="323E4F" w:themeColor="text2" w:themeShade="BF"/>
          <w:sz w:val="36"/>
        </w:rPr>
      </w:pPr>
      <w:r>
        <w:rPr>
          <w:noProof/>
          <w:lang w:eastAsia="fr-FR"/>
        </w:rPr>
        <mc:AlternateContent>
          <mc:Choice Requires="wps">
            <w:drawing>
              <wp:anchor distT="0" distB="0" distL="114300" distR="114300" simplePos="0" relativeHeight="251670527" behindDoc="0" locked="0" layoutInCell="1" allowOverlap="1" wp14:anchorId="3B0D03DD" wp14:editId="2960C7BB">
                <wp:simplePos x="0" y="0"/>
                <wp:positionH relativeFrom="page">
                  <wp:posOffset>-106680</wp:posOffset>
                </wp:positionH>
                <wp:positionV relativeFrom="paragraph">
                  <wp:posOffset>329565</wp:posOffset>
                </wp:positionV>
                <wp:extent cx="7696200" cy="1181100"/>
                <wp:effectExtent l="0" t="0" r="19050" b="19050"/>
                <wp:wrapNone/>
                <wp:docPr id="169" name="Rectangle 169"/>
                <wp:cNvGraphicFramePr/>
                <a:graphic xmlns:a="http://schemas.openxmlformats.org/drawingml/2006/main">
                  <a:graphicData uri="http://schemas.microsoft.com/office/word/2010/wordprocessingShape">
                    <wps:wsp>
                      <wps:cNvSpPr/>
                      <wps:spPr>
                        <a:xfrm>
                          <a:off x="0" y="0"/>
                          <a:ext cx="7696200" cy="1181100"/>
                        </a:xfrm>
                        <a:prstGeom prst="rect">
                          <a:avLst/>
                        </a:prstGeom>
                        <a:no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E765C9" id="Rectangle 169" o:spid="_x0000_s1026" style="position:absolute;margin-left:-8.4pt;margin-top:25.95pt;width:606pt;height:93pt;z-index:251670527;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" filled="f" strokecolor="#c00000" strokeweight="1pt">
                <w10:wrap anchorx="page"/>
              </v:rect>
            </w:pict>
          </mc:Fallback>
        </mc:AlternateContent>
      </w:r>
    </w:p>
    <w:p w14:paraId="68339FDC" w14:textId="77777777" w:rsidR="001D7E11" w:rsidRPr="007F25AF" w:rsidRDefault="00A9257B" w:rsidP="00940837">
      <w:pPr>
        <w:jc w:val="center"/>
        <w:rPr>
          <w:rFonts w:ascii="Arial Narrow" w:hAnsi="Arial Narrow"/>
          <w:b/>
          <w:color w:val="0D0D0D" w:themeColor="text1" w:themeTint="F2"/>
          <w:sz w:val="52"/>
          <w:szCs w:val="52"/>
        </w:rPr>
      </w:pPr>
      <w:r w:rsidRPr="007F25AF">
        <w:rPr>
          <w:rFonts w:ascii="Arial Narrow" w:hAnsi="Arial Narrow"/>
          <w:b/>
          <w:color w:val="0D0D0D" w:themeColor="text1" w:themeTint="F2"/>
          <w:sz w:val="52"/>
          <w:szCs w:val="52"/>
        </w:rPr>
        <w:t xml:space="preserve">APPEL A PROJETS </w:t>
      </w:r>
      <w:r w:rsidR="001D7E11" w:rsidRPr="007F25AF">
        <w:rPr>
          <w:rFonts w:ascii="Arial Narrow" w:hAnsi="Arial Narrow"/>
          <w:b/>
          <w:color w:val="0D0D0D" w:themeColor="text1" w:themeTint="F2"/>
          <w:sz w:val="52"/>
          <w:szCs w:val="52"/>
        </w:rPr>
        <w:t>TILT</w:t>
      </w:r>
    </w:p>
    <w:p w14:paraId="1F88ACAA" w14:textId="244E52CB" w:rsidR="00940837" w:rsidRPr="00C42540" w:rsidRDefault="004242FB" w:rsidP="00A9257B">
      <w:pPr>
        <w:jc w:val="center"/>
        <w:rPr>
          <w:rFonts w:ascii="Arial Narrow" w:hAnsi="Arial Narrow"/>
          <w:b/>
          <w:i/>
          <w:color w:val="C00000"/>
          <w:sz w:val="36"/>
          <w:szCs w:val="40"/>
        </w:rPr>
      </w:pPr>
      <w:r w:rsidRPr="00C42540">
        <w:rPr>
          <w:rFonts w:ascii="Arial Narrow" w:hAnsi="Arial Narrow"/>
          <w:b/>
          <w:i/>
          <w:color w:val="C00000"/>
          <w:sz w:val="32"/>
          <w:szCs w:val="40"/>
        </w:rPr>
        <w:t>Transfert d’I</w:t>
      </w:r>
      <w:r w:rsidR="001D7E11" w:rsidRPr="00C42540">
        <w:rPr>
          <w:rFonts w:ascii="Arial Narrow" w:hAnsi="Arial Narrow"/>
          <w:b/>
          <w:i/>
          <w:color w:val="C00000"/>
          <w:sz w:val="32"/>
          <w:szCs w:val="40"/>
        </w:rPr>
        <w:t xml:space="preserve">nnovation pour les </w:t>
      </w:r>
      <w:r w:rsidRPr="00C42540">
        <w:rPr>
          <w:rFonts w:ascii="Arial Narrow" w:hAnsi="Arial Narrow"/>
          <w:b/>
          <w:i/>
          <w:color w:val="C00000"/>
          <w:sz w:val="32"/>
          <w:szCs w:val="40"/>
        </w:rPr>
        <w:t>Laboratoires du Territoire</w:t>
      </w:r>
      <w:r w:rsidR="004D7C5C" w:rsidRPr="00C42540">
        <w:rPr>
          <w:rFonts w:ascii="Arial Narrow" w:hAnsi="Arial Narrow"/>
          <w:b/>
          <w:i/>
          <w:color w:val="C00000"/>
          <w:sz w:val="32"/>
          <w:szCs w:val="40"/>
        </w:rPr>
        <w:t xml:space="preserve"> – </w:t>
      </w:r>
      <w:r w:rsidR="00940837" w:rsidRPr="00C42540">
        <w:rPr>
          <w:rFonts w:ascii="Arial Narrow" w:hAnsi="Arial Narrow"/>
          <w:b/>
          <w:i/>
          <w:color w:val="C00000"/>
          <w:sz w:val="32"/>
          <w:szCs w:val="40"/>
        </w:rPr>
        <w:t>201</w:t>
      </w:r>
      <w:r w:rsidR="00F93674">
        <w:rPr>
          <w:rFonts w:ascii="Arial Narrow" w:hAnsi="Arial Narrow"/>
          <w:b/>
          <w:i/>
          <w:color w:val="C00000"/>
          <w:sz w:val="32"/>
          <w:szCs w:val="40"/>
        </w:rPr>
        <w:t>9</w:t>
      </w:r>
    </w:p>
    <w:p w14:paraId="5954C541" w14:textId="76F8AFA1" w:rsidR="00A9257B" w:rsidRPr="00C42540" w:rsidRDefault="00F93674" w:rsidP="00A31FF3">
      <w:pPr>
        <w:jc w:val="center"/>
        <w:rPr>
          <w:b/>
          <w:color w:val="FF0000"/>
        </w:rPr>
      </w:pPr>
      <w:r>
        <w:rPr>
          <w:b/>
          <w:color w:val="FF0000"/>
        </w:rPr>
        <w:t>2</w:t>
      </w:r>
      <w:r w:rsidRPr="00F93674">
        <w:rPr>
          <w:b/>
          <w:color w:val="FF0000"/>
          <w:vertAlign w:val="superscript"/>
        </w:rPr>
        <w:t>ème</w:t>
      </w:r>
      <w:r w:rsidR="00DC55E6" w:rsidRPr="00C42540">
        <w:rPr>
          <w:b/>
          <w:color w:val="FF0000"/>
        </w:rPr>
        <w:t xml:space="preserve"> édition</w:t>
      </w:r>
    </w:p>
    <w:p w14:paraId="2420441A" w14:textId="77777777" w:rsidR="007F25AF" w:rsidRDefault="007F25AF" w:rsidP="00A31FF3">
      <w:pPr>
        <w:jc w:val="center"/>
        <w:rPr>
          <w:b/>
          <w:color w:val="1F4E79" w:themeColor="accent1" w:themeShade="80"/>
        </w:rPr>
      </w:pPr>
    </w:p>
    <w:p w14:paraId="56FC959B" w14:textId="000A72C3" w:rsidR="00A9257B" w:rsidRDefault="00520162" w:rsidP="00520162">
      <w:pPr>
        <w:jc w:val="center"/>
      </w:pPr>
      <w:r>
        <w:rPr>
          <w:noProof/>
          <w:lang w:eastAsia="fr-FR"/>
        </w:rPr>
        <w:drawing>
          <wp:inline distT="0" distB="0" distL="0" distR="0" wp14:anchorId="2BE15EB6" wp14:editId="2F11E94B">
            <wp:extent cx="1971675" cy="1902562"/>
            <wp:effectExtent l="0" t="0" r="0" b="254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TILT.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980822" cy="1911388"/>
                    </a:xfrm>
                    <a:prstGeom prst="rect">
                      <a:avLst/>
                    </a:prstGeom>
                  </pic:spPr>
                </pic:pic>
              </a:graphicData>
            </a:graphic>
          </wp:inline>
        </w:drawing>
      </w:r>
    </w:p>
    <w:p w14:paraId="330440B0" w14:textId="77777777" w:rsidR="007F25AF" w:rsidRDefault="007F25AF" w:rsidP="00A9257B"/>
    <w:p w14:paraId="4532708F" w14:textId="4F22A9DE" w:rsidR="00A9257B" w:rsidRPr="009E0EFA" w:rsidRDefault="00A9257B" w:rsidP="00520162">
      <w:pPr>
        <w:jc w:val="center"/>
      </w:pPr>
      <w:r w:rsidRPr="009E0EFA">
        <w:rPr>
          <w:b/>
          <w:u w:val="single"/>
        </w:rPr>
        <w:t>Date d’ouverture :</w:t>
      </w:r>
      <w:r w:rsidRPr="009E0EFA">
        <w:t xml:space="preserve"> </w:t>
      </w:r>
      <w:r w:rsidR="00695E0B" w:rsidRPr="009E0EFA">
        <w:t>11</w:t>
      </w:r>
      <w:r w:rsidR="00F93674" w:rsidRPr="009E0EFA">
        <w:t xml:space="preserve"> mars 2019</w:t>
      </w:r>
    </w:p>
    <w:p w14:paraId="6E95073A" w14:textId="6A05AAD2" w:rsidR="00082CFF" w:rsidRPr="009E0EFA" w:rsidRDefault="00082CFF" w:rsidP="00520162">
      <w:pPr>
        <w:jc w:val="center"/>
      </w:pPr>
      <w:r w:rsidRPr="009E0EFA">
        <w:rPr>
          <w:b/>
          <w:u w:val="single"/>
        </w:rPr>
        <w:t>Webinar de présentation :</w:t>
      </w:r>
      <w:r w:rsidRPr="009E0EFA">
        <w:t xml:space="preserve"> </w:t>
      </w:r>
      <w:r w:rsidR="001321E8" w:rsidRPr="009E0EFA">
        <w:t>22</w:t>
      </w:r>
      <w:r w:rsidRPr="009E0EFA">
        <w:t xml:space="preserve"> mars 2019 ; </w:t>
      </w:r>
      <w:r w:rsidR="001321E8" w:rsidRPr="009E0EFA">
        <w:t>17</w:t>
      </w:r>
      <w:r w:rsidRPr="009E0EFA">
        <w:t xml:space="preserve"> avril 2019</w:t>
      </w:r>
    </w:p>
    <w:p w14:paraId="3B1508DF" w14:textId="5D55F964" w:rsidR="00A9257B" w:rsidRDefault="00A9257B" w:rsidP="00520162">
      <w:pPr>
        <w:jc w:val="center"/>
      </w:pPr>
      <w:r w:rsidRPr="009E0EFA">
        <w:rPr>
          <w:b/>
          <w:u w:val="single"/>
        </w:rPr>
        <w:t>Date de clôture :</w:t>
      </w:r>
      <w:r w:rsidRPr="009E0EFA">
        <w:t xml:space="preserve"> </w:t>
      </w:r>
      <w:r w:rsidR="00695E0B" w:rsidRPr="009E0EFA">
        <w:t>17</w:t>
      </w:r>
      <w:r w:rsidR="00F93674" w:rsidRPr="009E0EFA">
        <w:t xml:space="preserve"> mai 2019</w:t>
      </w:r>
    </w:p>
    <w:p w14:paraId="6CE77A6F" w14:textId="573162E4" w:rsidR="00396CC7" w:rsidRDefault="007E540E" w:rsidP="00520162">
      <w:pPr>
        <w:jc w:val="center"/>
      </w:pPr>
      <w:r w:rsidRPr="00063E00">
        <w:rPr>
          <w:b/>
          <w:u w:val="single"/>
        </w:rPr>
        <w:t>Contact</w:t>
      </w:r>
      <w:r w:rsidR="00A9257B" w:rsidRPr="00063E00">
        <w:rPr>
          <w:b/>
          <w:u w:val="single"/>
        </w:rPr>
        <w:t> :</w:t>
      </w:r>
      <w:r w:rsidR="00940837">
        <w:t xml:space="preserve"> </w:t>
      </w:r>
      <w:hyperlink r:id="rId20" w:history="1">
        <w:r w:rsidR="00F93674" w:rsidRPr="00944AA7">
          <w:rPr>
            <w:rStyle w:val="Lienhypertexte"/>
          </w:rPr>
          <w:t>TILT.AAP-2019@satt.fr</w:t>
        </w:r>
      </w:hyperlink>
      <w:r w:rsidR="00AE6584" w:rsidRPr="00AE6584">
        <w:t xml:space="preserve"> </w:t>
      </w:r>
    </w:p>
    <w:p w14:paraId="7106AD79" w14:textId="77777777" w:rsidR="00DC342F" w:rsidRDefault="008A5C00" w:rsidP="00520162">
      <w:pPr>
        <w:jc w:val="center"/>
        <w:rPr>
          <w:rStyle w:val="Lienhypertexte"/>
        </w:rPr>
      </w:pPr>
      <w:hyperlink r:id="rId21" w:history="1">
        <w:r w:rsidR="00396CC7">
          <w:rPr>
            <w:rStyle w:val="Lienhypertexte"/>
          </w:rPr>
          <w:t>http://www.satt.fr/aap-tilt-201</w:t>
        </w:r>
        <w:r w:rsidR="00F93674">
          <w:rPr>
            <w:rStyle w:val="Lienhypertexte"/>
          </w:rPr>
          <w:t>9</w:t>
        </w:r>
        <w:r w:rsidR="00396CC7">
          <w:rPr>
            <w:rStyle w:val="Lienhypertexte"/>
          </w:rPr>
          <w:t>/</w:t>
        </w:r>
      </w:hyperlink>
    </w:p>
    <w:p w14:paraId="31023492" w14:textId="07193D4C" w:rsidR="00AC3D7D" w:rsidRPr="00DC342F" w:rsidRDefault="00DC342F" w:rsidP="00520162">
      <w:pPr>
        <w:jc w:val="center"/>
        <w:rPr>
          <w:b/>
          <w:color w:val="2E74B5" w:themeColor="accent1" w:themeShade="BF"/>
          <w:sz w:val="28"/>
          <w:u w:val="single"/>
        </w:rPr>
      </w:pPr>
      <w:r w:rsidRPr="00DC342F">
        <w:rPr>
          <w:rStyle w:val="Lienhypertexte"/>
          <w:b/>
          <w:color w:val="000000" w:themeColor="text1"/>
        </w:rPr>
        <w:t>Inscription à un webinar :</w:t>
      </w:r>
      <w:r w:rsidRPr="00DC342F">
        <w:rPr>
          <w:rStyle w:val="Lienhypertexte"/>
          <w:color w:val="000000" w:themeColor="text1"/>
          <w:u w:val="none"/>
        </w:rPr>
        <w:t xml:space="preserve"> </w:t>
      </w:r>
      <w:hyperlink r:id="rId22" w:history="1">
        <w:r w:rsidR="008A5C00">
          <w:rPr>
            <w:rStyle w:val="Lienhypertexte"/>
          </w:rPr>
          <w:t>https://sphinxdeclic.com/d/s/hnmeue</w:t>
        </w:r>
      </w:hyperlink>
      <w:bookmarkStart w:id="0" w:name="_GoBack"/>
      <w:bookmarkEnd w:id="0"/>
      <w:r w:rsidR="00AC3D7D" w:rsidRPr="00DC342F">
        <w:rPr>
          <w:b/>
          <w:color w:val="2E74B5" w:themeColor="accent1" w:themeShade="BF"/>
          <w:sz w:val="28"/>
          <w:u w:val="single"/>
        </w:rPr>
        <w:br w:type="page"/>
      </w:r>
    </w:p>
    <w:p w14:paraId="3CA78B8C" w14:textId="77777777" w:rsidR="00A9257B" w:rsidRPr="00C42540" w:rsidRDefault="00940837" w:rsidP="00A9257B">
      <w:pPr>
        <w:rPr>
          <w:color w:val="C00000"/>
          <w:u w:val="single"/>
        </w:rPr>
      </w:pPr>
      <w:r w:rsidRPr="00C42540">
        <w:rPr>
          <w:b/>
          <w:color w:val="C00000"/>
          <w:sz w:val="28"/>
          <w:u w:val="single"/>
        </w:rPr>
        <w:lastRenderedPageBreak/>
        <w:t>C</w:t>
      </w:r>
      <w:r w:rsidR="007B2EFC" w:rsidRPr="00C42540">
        <w:rPr>
          <w:b/>
          <w:color w:val="C00000"/>
          <w:sz w:val="28"/>
          <w:u w:val="single"/>
        </w:rPr>
        <w:t xml:space="preserve">ONTEXTE ET OBJECTIFS </w:t>
      </w:r>
    </w:p>
    <w:p w14:paraId="7E2828F1" w14:textId="26CEA33C" w:rsidR="001B0123" w:rsidRDefault="00F93674" w:rsidP="00160E16">
      <w:pPr>
        <w:jc w:val="both"/>
      </w:pPr>
      <w:r>
        <w:t xml:space="preserve">L’industrie mécanique est la première industrie manufacturière en France avec plus de 140 Md€ de chiffre d’affaires, </w:t>
      </w:r>
      <w:r w:rsidR="00B71C0D">
        <w:t xml:space="preserve">et </w:t>
      </w:r>
      <w:r>
        <w:t xml:space="preserve">plus de 6000 entreprises pour la plupart ETI et PME (90% de PME). En revanche, il est constaté que ces mêmes entreprises ne bénéficient pas suffisamment de l’innovation en provenance des laboratoires de recherche publique pour nourrir </w:t>
      </w:r>
      <w:r w:rsidR="00B71C0D">
        <w:t>leurs différences sur le marché.</w:t>
      </w:r>
    </w:p>
    <w:p w14:paraId="5D181B62" w14:textId="599033C8" w:rsidR="00B71C0D" w:rsidRDefault="00B71C0D" w:rsidP="00160E16">
      <w:pPr>
        <w:jc w:val="both"/>
      </w:pPr>
      <w:r>
        <w:t xml:space="preserve">Fort de ce constat le réseau des SATT, </w:t>
      </w:r>
      <w:r w:rsidRPr="009E0EFA">
        <w:t xml:space="preserve">Aquitaine Science Transfert, AXLR, </w:t>
      </w:r>
      <w:proofErr w:type="spellStart"/>
      <w:r w:rsidRPr="009E0EFA">
        <w:t>Conectus</w:t>
      </w:r>
      <w:proofErr w:type="spellEnd"/>
      <w:r w:rsidRPr="009E0EFA">
        <w:t xml:space="preserve">, </w:t>
      </w:r>
      <w:proofErr w:type="spellStart"/>
      <w:r w:rsidRPr="009E0EFA">
        <w:t>Sayens</w:t>
      </w:r>
      <w:proofErr w:type="spellEnd"/>
      <w:r w:rsidRPr="009E0EFA">
        <w:t xml:space="preserve">, IDF Innov, </w:t>
      </w:r>
      <w:proofErr w:type="spellStart"/>
      <w:r w:rsidRPr="009E0EFA">
        <w:t>Lutech</w:t>
      </w:r>
      <w:proofErr w:type="spellEnd"/>
      <w:r w:rsidRPr="009E0EFA">
        <w:t>, Nord, Ouest Valorisation, Paris-Saclay</w:t>
      </w:r>
      <w:r w:rsidR="009E0EFA" w:rsidRPr="009E0EFA">
        <w:t xml:space="preserve"> </w:t>
      </w:r>
      <w:r w:rsidRPr="009E0EFA">
        <w:rPr>
          <w:rFonts w:cstheme="minorHAnsi"/>
          <w:sz w:val="23"/>
          <w:szCs w:val="23"/>
        </w:rPr>
        <w:t>et Toulouse Tech Transfer</w:t>
      </w:r>
      <w:r>
        <w:t xml:space="preserve"> et le CETIM, Centre Technique des Industries de la Mécanique initie</w:t>
      </w:r>
      <w:r w:rsidR="009F6943">
        <w:t>nt</w:t>
      </w:r>
      <w:r>
        <w:t xml:space="preserve"> la 2</w:t>
      </w:r>
      <w:r w:rsidRPr="00B71C0D">
        <w:rPr>
          <w:vertAlign w:val="superscript"/>
        </w:rPr>
        <w:t>ème</w:t>
      </w:r>
      <w:r>
        <w:t xml:space="preserve"> édition de l’appel à projet TILT qui a pour but de transférer des résultats de recherche vers ces entreprises dans l’optique de développer de nouveaux produits ou procédés utiles pour améliorer leur compétitivité et pérenniser leur activité sur le territoire.</w:t>
      </w:r>
    </w:p>
    <w:tbl>
      <w:tblPr>
        <w:tblpPr w:leftFromText="141" w:rightFromText="141" w:vertAnchor="text" w:tblpY="171"/>
        <w:tblW w:w="0" w:type="auto"/>
        <w:tblBorders>
          <w:top w:val="nil"/>
          <w:left w:val="nil"/>
          <w:bottom w:val="nil"/>
          <w:right w:val="nil"/>
        </w:tblBorders>
        <w:tblLayout w:type="fixed"/>
        <w:tblLook w:val="0000" w:firstRow="0" w:lastRow="0" w:firstColumn="0" w:lastColumn="0" w:noHBand="0" w:noVBand="0"/>
      </w:tblPr>
      <w:tblGrid>
        <w:gridCol w:w="9180"/>
      </w:tblGrid>
      <w:tr w:rsidR="007B2EFC" w14:paraId="77C00FA9" w14:textId="77777777" w:rsidTr="00160E16">
        <w:trPr>
          <w:trHeight w:val="851"/>
        </w:trPr>
        <w:tc>
          <w:tcPr>
            <w:tcW w:w="9180" w:type="dxa"/>
          </w:tcPr>
          <w:p w14:paraId="4CA0952F" w14:textId="019CCE9A" w:rsidR="007B2EFC" w:rsidRDefault="007B2EFC" w:rsidP="007B2EFC">
            <w:pPr>
              <w:pStyle w:val="Default"/>
              <w:jc w:val="both"/>
              <w:rPr>
                <w:sz w:val="23"/>
                <w:szCs w:val="23"/>
              </w:rPr>
            </w:pPr>
            <w:r>
              <w:rPr>
                <w:sz w:val="23"/>
                <w:szCs w:val="23"/>
              </w:rPr>
              <w:t>L’objectif principal de cet appel à projets</w:t>
            </w:r>
            <w:r w:rsidR="00E53FFD">
              <w:rPr>
                <w:sz w:val="23"/>
                <w:szCs w:val="23"/>
              </w:rPr>
              <w:t>,</w:t>
            </w:r>
            <w:r>
              <w:rPr>
                <w:sz w:val="23"/>
                <w:szCs w:val="23"/>
              </w:rPr>
              <w:t xml:space="preserve"> est de permettre la maturation de projets et le transfert de</w:t>
            </w:r>
            <w:r w:rsidR="00A46A6F">
              <w:rPr>
                <w:sz w:val="23"/>
                <w:szCs w:val="23"/>
              </w:rPr>
              <w:t>s</w:t>
            </w:r>
            <w:r>
              <w:rPr>
                <w:sz w:val="23"/>
                <w:szCs w:val="23"/>
              </w:rPr>
              <w:t xml:space="preserve"> technologies issus des laboratoires</w:t>
            </w:r>
            <w:r w:rsidR="00A46A6F">
              <w:rPr>
                <w:sz w:val="23"/>
                <w:szCs w:val="23"/>
              </w:rPr>
              <w:t xml:space="preserve"> </w:t>
            </w:r>
            <w:r w:rsidR="001B0123">
              <w:rPr>
                <w:sz w:val="23"/>
                <w:szCs w:val="23"/>
              </w:rPr>
              <w:t>dont la liste est en annexe 2</w:t>
            </w:r>
            <w:r w:rsidR="00A46A6F">
              <w:rPr>
                <w:sz w:val="23"/>
                <w:szCs w:val="23"/>
              </w:rPr>
              <w:t>.</w:t>
            </w:r>
            <w:r>
              <w:rPr>
                <w:sz w:val="23"/>
                <w:szCs w:val="23"/>
              </w:rPr>
              <w:t xml:space="preserve"> </w:t>
            </w:r>
          </w:p>
          <w:p w14:paraId="4788183C" w14:textId="77777777" w:rsidR="005A3616" w:rsidRDefault="005A3616" w:rsidP="007B2EFC">
            <w:pPr>
              <w:pStyle w:val="Default"/>
              <w:jc w:val="both"/>
              <w:rPr>
                <w:sz w:val="23"/>
                <w:szCs w:val="23"/>
              </w:rPr>
            </w:pPr>
          </w:p>
          <w:p w14:paraId="4B168406" w14:textId="77777777" w:rsidR="007B2EFC" w:rsidRPr="00EB3AEE" w:rsidRDefault="005A3616" w:rsidP="00EB3AEE">
            <w:pPr>
              <w:pStyle w:val="Default"/>
              <w:jc w:val="both"/>
              <w:rPr>
                <w:sz w:val="23"/>
                <w:szCs w:val="23"/>
              </w:rPr>
            </w:pPr>
            <w:r>
              <w:rPr>
                <w:sz w:val="23"/>
                <w:szCs w:val="23"/>
              </w:rPr>
              <w:t xml:space="preserve">Le </w:t>
            </w:r>
            <w:r w:rsidR="00E53FFD">
              <w:rPr>
                <w:sz w:val="23"/>
                <w:szCs w:val="23"/>
              </w:rPr>
              <w:t xml:space="preserve">Réseau </w:t>
            </w:r>
            <w:r w:rsidR="002A76EE">
              <w:rPr>
                <w:sz w:val="23"/>
                <w:szCs w:val="23"/>
              </w:rPr>
              <w:t>SATT</w:t>
            </w:r>
            <w:r>
              <w:rPr>
                <w:sz w:val="23"/>
                <w:szCs w:val="23"/>
              </w:rPr>
              <w:t xml:space="preserve"> est en charge de la communication et de la diffusion de l’appel à projets.</w:t>
            </w:r>
          </w:p>
          <w:tbl>
            <w:tblPr>
              <w:tblW w:w="8846" w:type="dxa"/>
              <w:tblBorders>
                <w:top w:val="nil"/>
                <w:left w:val="nil"/>
                <w:bottom w:val="nil"/>
                <w:right w:val="nil"/>
              </w:tblBorders>
              <w:tblLayout w:type="fixed"/>
              <w:tblLook w:val="0000" w:firstRow="0" w:lastRow="0" w:firstColumn="0" w:lastColumn="0" w:noHBand="0" w:noVBand="0"/>
            </w:tblPr>
            <w:tblGrid>
              <w:gridCol w:w="8846"/>
            </w:tblGrid>
            <w:tr w:rsidR="007B2EFC" w14:paraId="75F9D25A" w14:textId="77777777" w:rsidTr="00E53FFD">
              <w:trPr>
                <w:trHeight w:val="413"/>
              </w:trPr>
              <w:tc>
                <w:tcPr>
                  <w:tcW w:w="8846" w:type="dxa"/>
                </w:tcPr>
                <w:p w14:paraId="39D3A5EF" w14:textId="77777777" w:rsidR="007B2EFC" w:rsidRDefault="007B2EFC" w:rsidP="008A5C00">
                  <w:pPr>
                    <w:pStyle w:val="Default"/>
                    <w:framePr w:hSpace="141" w:wrap="around" w:vAnchor="text" w:hAnchor="text" w:y="171"/>
                    <w:rPr>
                      <w:sz w:val="23"/>
                      <w:szCs w:val="23"/>
                    </w:rPr>
                  </w:pPr>
                </w:p>
                <w:p w14:paraId="07918DCE" w14:textId="77777777" w:rsidR="00EB3AEE" w:rsidRDefault="00EB3AEE" w:rsidP="008A5C00">
                  <w:pPr>
                    <w:pStyle w:val="Default"/>
                    <w:framePr w:hSpace="141" w:wrap="around" w:vAnchor="text" w:hAnchor="text" w:y="171"/>
                    <w:rPr>
                      <w:sz w:val="23"/>
                      <w:szCs w:val="23"/>
                    </w:rPr>
                  </w:pPr>
                </w:p>
              </w:tc>
            </w:tr>
          </w:tbl>
          <w:p w14:paraId="0C07C195" w14:textId="77777777" w:rsidR="00A70D2B" w:rsidRPr="00C42540" w:rsidRDefault="00A70D2B" w:rsidP="00A70D2B">
            <w:pPr>
              <w:rPr>
                <w:b/>
                <w:color w:val="C00000"/>
                <w:sz w:val="28"/>
                <w:u w:val="single"/>
              </w:rPr>
            </w:pPr>
            <w:r w:rsidRPr="00C42540">
              <w:rPr>
                <w:b/>
                <w:color w:val="C00000"/>
                <w:sz w:val="28"/>
                <w:u w:val="single"/>
              </w:rPr>
              <w:t>MODALITES DE PARTICIPATION</w:t>
            </w:r>
          </w:p>
          <w:tbl>
            <w:tblPr>
              <w:tblpPr w:leftFromText="141" w:rightFromText="141" w:vertAnchor="text" w:horzAnchor="margin" w:tblpY="-11"/>
              <w:tblOverlap w:val="never"/>
              <w:tblW w:w="8849" w:type="dxa"/>
              <w:tblBorders>
                <w:top w:val="nil"/>
                <w:left w:val="nil"/>
                <w:bottom w:val="nil"/>
                <w:right w:val="nil"/>
              </w:tblBorders>
              <w:tblLayout w:type="fixed"/>
              <w:tblLook w:val="0000" w:firstRow="0" w:lastRow="0" w:firstColumn="0" w:lastColumn="0" w:noHBand="0" w:noVBand="0"/>
            </w:tblPr>
            <w:tblGrid>
              <w:gridCol w:w="8849"/>
            </w:tblGrid>
            <w:tr w:rsidR="00A70D2B" w14:paraId="275DC146" w14:textId="77777777" w:rsidTr="00A70D2B">
              <w:trPr>
                <w:trHeight w:val="412"/>
              </w:trPr>
              <w:tc>
                <w:tcPr>
                  <w:tcW w:w="8849" w:type="dxa"/>
                </w:tcPr>
                <w:p w14:paraId="53DA2739" w14:textId="3E9E31C0" w:rsidR="00A70D2B" w:rsidRDefault="00A70D2B" w:rsidP="006203C7">
                  <w:pPr>
                    <w:pStyle w:val="Default"/>
                    <w:jc w:val="both"/>
                    <w:rPr>
                      <w:sz w:val="23"/>
                      <w:szCs w:val="23"/>
                    </w:rPr>
                  </w:pPr>
                  <w:r>
                    <w:rPr>
                      <w:sz w:val="23"/>
                      <w:szCs w:val="23"/>
                    </w:rPr>
                    <w:t xml:space="preserve">Les travaux éligibles doivent être </w:t>
                  </w:r>
                  <w:r w:rsidR="003A627F">
                    <w:rPr>
                      <w:sz w:val="23"/>
                      <w:szCs w:val="23"/>
                    </w:rPr>
                    <w:t>issus d’un ou plusieurs laboratoires</w:t>
                  </w:r>
                  <w:r>
                    <w:rPr>
                      <w:sz w:val="23"/>
                      <w:szCs w:val="23"/>
                    </w:rPr>
                    <w:t xml:space="preserve"> appartenant aux universités et organismes de recherch</w:t>
                  </w:r>
                  <w:r w:rsidR="001B0123">
                    <w:rPr>
                      <w:sz w:val="23"/>
                      <w:szCs w:val="23"/>
                    </w:rPr>
                    <w:t>e du territoire d’une des SATT.</w:t>
                  </w:r>
                </w:p>
                <w:p w14:paraId="55E77189" w14:textId="2BFAE321" w:rsidR="00C42540" w:rsidRDefault="00C42540" w:rsidP="006203C7">
                  <w:pPr>
                    <w:pStyle w:val="Default"/>
                    <w:jc w:val="both"/>
                    <w:rPr>
                      <w:sz w:val="23"/>
                      <w:szCs w:val="23"/>
                    </w:rPr>
                  </w:pPr>
                </w:p>
                <w:p w14:paraId="1931A0A3" w14:textId="5ADC4ECC" w:rsidR="00871CA0" w:rsidRDefault="00CA2B77" w:rsidP="006203C7">
                  <w:pPr>
                    <w:pStyle w:val="Default"/>
                    <w:jc w:val="both"/>
                    <w:rPr>
                      <w:sz w:val="23"/>
                      <w:szCs w:val="23"/>
                    </w:rPr>
                  </w:pPr>
                  <w:r w:rsidRPr="00262D6A">
                    <w:rPr>
                      <w:sz w:val="23"/>
                      <w:szCs w:val="23"/>
                    </w:rPr>
                    <w:t>La durée moyenne d’un projet se situe entre 18 et 24 mois, un projet de recherche ou un sujet de thèse ne sont pas éligibles, ils pourront l’être à terme lorsque les résultats en seront au niveau du « proof of concept » laboratoire (TRL3)</w:t>
                  </w:r>
                  <w:r w:rsidR="00226540">
                    <w:rPr>
                      <w:sz w:val="23"/>
                      <w:szCs w:val="23"/>
                    </w:rPr>
                    <w:t>.</w:t>
                  </w:r>
                </w:p>
                <w:p w14:paraId="62C7C672" w14:textId="77777777" w:rsidR="00CA2B77" w:rsidRDefault="00CA2B77" w:rsidP="006203C7">
                  <w:pPr>
                    <w:pStyle w:val="Default"/>
                    <w:jc w:val="both"/>
                    <w:rPr>
                      <w:sz w:val="23"/>
                      <w:szCs w:val="23"/>
                    </w:rPr>
                  </w:pPr>
                </w:p>
                <w:p w14:paraId="731F8FB1" w14:textId="77777777" w:rsidR="00A70D2B" w:rsidRDefault="00A70D2B" w:rsidP="006203C7">
                  <w:pPr>
                    <w:pStyle w:val="Default"/>
                    <w:jc w:val="both"/>
                    <w:rPr>
                      <w:sz w:val="23"/>
                      <w:szCs w:val="23"/>
                    </w:rPr>
                  </w:pPr>
                  <w:r>
                    <w:rPr>
                      <w:sz w:val="23"/>
                      <w:szCs w:val="23"/>
                    </w:rPr>
                    <w:t xml:space="preserve">L’appel à projets est également ouvert aux résultats obtenus dans le cadre d’un partenariat de recherche avec des partenaires académiques ou privés. Le projet peut </w:t>
                  </w:r>
                  <w:r w:rsidR="003A627F">
                    <w:rPr>
                      <w:sz w:val="23"/>
                      <w:szCs w:val="23"/>
                    </w:rPr>
                    <w:t xml:space="preserve">également </w:t>
                  </w:r>
                  <w:r>
                    <w:rPr>
                      <w:sz w:val="23"/>
                      <w:szCs w:val="23"/>
                    </w:rPr>
                    <w:t>impliquer des équipes hors du périmètre des SATT</w:t>
                  </w:r>
                  <w:r w:rsidR="006203C7">
                    <w:rPr>
                      <w:sz w:val="23"/>
                      <w:szCs w:val="23"/>
                    </w:rPr>
                    <w:t xml:space="preserve"> partenaires</w:t>
                  </w:r>
                  <w:r>
                    <w:rPr>
                      <w:sz w:val="23"/>
                      <w:szCs w:val="23"/>
                    </w:rPr>
                    <w:t xml:space="preserve">. </w:t>
                  </w:r>
                  <w:r w:rsidR="003A627F">
                    <w:rPr>
                      <w:sz w:val="23"/>
                      <w:szCs w:val="23"/>
                    </w:rPr>
                    <w:t>Dans ces deux cas, les résultats déjà obtenus et la propriété intellectuelle afférente doivent être libre de droit pour une exploitation industrielle.</w:t>
                  </w:r>
                  <w:r w:rsidR="00C81255">
                    <w:rPr>
                      <w:sz w:val="23"/>
                      <w:szCs w:val="23"/>
                    </w:rPr>
                    <w:t xml:space="preserve"> Ce travail sur la propriété intellectuelle sera effectué par les SATT avant la sélection ou le lancement des projets.</w:t>
                  </w:r>
                </w:p>
                <w:p w14:paraId="1CD87F46" w14:textId="77777777" w:rsidR="00940837" w:rsidRDefault="00940837" w:rsidP="006203C7">
                  <w:pPr>
                    <w:pStyle w:val="Default"/>
                    <w:jc w:val="both"/>
                    <w:rPr>
                      <w:sz w:val="23"/>
                      <w:szCs w:val="23"/>
                    </w:rPr>
                  </w:pPr>
                </w:p>
                <w:p w14:paraId="38977194" w14:textId="0B642CE0" w:rsidR="00A70D2B" w:rsidRDefault="00A70D2B" w:rsidP="00B21AA1">
                  <w:pPr>
                    <w:pStyle w:val="Default"/>
                    <w:jc w:val="both"/>
                    <w:rPr>
                      <w:sz w:val="23"/>
                      <w:szCs w:val="23"/>
                    </w:rPr>
                  </w:pPr>
                  <w:r>
                    <w:rPr>
                      <w:sz w:val="23"/>
                      <w:szCs w:val="23"/>
                    </w:rPr>
                    <w:t>Le projet soumis doit s’appuyer sur des premiers résultats expérimentaux et/ou des simulations ayant démontré</w:t>
                  </w:r>
                  <w:r w:rsidR="00E53FFD">
                    <w:rPr>
                      <w:sz w:val="23"/>
                      <w:szCs w:val="23"/>
                    </w:rPr>
                    <w:t>s</w:t>
                  </w:r>
                  <w:r>
                    <w:rPr>
                      <w:sz w:val="23"/>
                      <w:szCs w:val="23"/>
                    </w:rPr>
                    <w:t xml:space="preserve"> de façon claire le concept scientifique. La finalité du projet doit permettre d’établir que la solution est opérationnelle, qu’elle répond à une problématique et qu’elle se différencie positivement des autres solutions existantes. Le projet de maturation doit viser à amener la solution à un stade de développement permettant son transfert à un tiers</w:t>
                  </w:r>
                  <w:r w:rsidR="006060FB">
                    <w:rPr>
                      <w:sz w:val="23"/>
                      <w:szCs w:val="23"/>
                    </w:rPr>
                    <w:t xml:space="preserve">, </w:t>
                  </w:r>
                  <w:r w:rsidR="00696D89">
                    <w:rPr>
                      <w:sz w:val="23"/>
                      <w:szCs w:val="23"/>
                    </w:rPr>
                    <w:t>c’est-à-dire,</w:t>
                  </w:r>
                  <w:r w:rsidR="006060FB">
                    <w:rPr>
                      <w:sz w:val="23"/>
                      <w:szCs w:val="23"/>
                    </w:rPr>
                    <w:t xml:space="preserve"> avoir fait la démonstration de sa valeur ajoutée dans un contexte applicatif réel</w:t>
                  </w:r>
                  <w:r>
                    <w:rPr>
                      <w:sz w:val="23"/>
                      <w:szCs w:val="23"/>
                    </w:rPr>
                    <w:t>. Les personnels des SATT</w:t>
                  </w:r>
                  <w:r w:rsidR="00696D89">
                    <w:rPr>
                      <w:sz w:val="23"/>
                      <w:szCs w:val="23"/>
                    </w:rPr>
                    <w:t xml:space="preserve"> et du CETIM</w:t>
                  </w:r>
                  <w:r>
                    <w:rPr>
                      <w:sz w:val="23"/>
                      <w:szCs w:val="23"/>
                    </w:rPr>
                    <w:t xml:space="preserve"> sont présents pour aider les équipes de recherche à définir</w:t>
                  </w:r>
                  <w:r w:rsidR="00297B7D">
                    <w:rPr>
                      <w:sz w:val="23"/>
                      <w:szCs w:val="23"/>
                    </w:rPr>
                    <w:t xml:space="preserve"> le programme et</w:t>
                  </w:r>
                  <w:r>
                    <w:rPr>
                      <w:sz w:val="23"/>
                      <w:szCs w:val="23"/>
                    </w:rPr>
                    <w:t xml:space="preserve"> les attentes du marché. </w:t>
                  </w:r>
                </w:p>
                <w:p w14:paraId="24ED09BE" w14:textId="77777777" w:rsidR="00034657" w:rsidRDefault="00034657" w:rsidP="00B21AA1">
                  <w:pPr>
                    <w:pStyle w:val="Default"/>
                    <w:jc w:val="both"/>
                    <w:rPr>
                      <w:sz w:val="23"/>
                      <w:szCs w:val="23"/>
                    </w:rPr>
                  </w:pPr>
                </w:p>
                <w:p w14:paraId="50F281BC" w14:textId="77777777" w:rsidR="00EB3AEE" w:rsidRDefault="00EB3AEE" w:rsidP="00B21AA1">
                  <w:pPr>
                    <w:pStyle w:val="Default"/>
                    <w:jc w:val="both"/>
                    <w:rPr>
                      <w:sz w:val="23"/>
                      <w:szCs w:val="23"/>
                    </w:rPr>
                  </w:pPr>
                </w:p>
                <w:p w14:paraId="0267F712" w14:textId="77777777" w:rsidR="00E53FFD" w:rsidRDefault="00E53FFD" w:rsidP="00B21AA1">
                  <w:pPr>
                    <w:pStyle w:val="Default"/>
                    <w:jc w:val="both"/>
                    <w:rPr>
                      <w:sz w:val="23"/>
                      <w:szCs w:val="23"/>
                    </w:rPr>
                  </w:pPr>
                </w:p>
                <w:p w14:paraId="697E24FC" w14:textId="77777777" w:rsidR="00B668C0" w:rsidRDefault="00B668C0" w:rsidP="00B21AA1">
                  <w:pPr>
                    <w:pStyle w:val="Default"/>
                    <w:jc w:val="both"/>
                    <w:rPr>
                      <w:sz w:val="23"/>
                      <w:szCs w:val="23"/>
                    </w:rPr>
                  </w:pPr>
                </w:p>
              </w:tc>
            </w:tr>
          </w:tbl>
          <w:p w14:paraId="52CC7039" w14:textId="77777777" w:rsidR="00B668C0" w:rsidRDefault="00B668C0" w:rsidP="00EB3AEE">
            <w:pPr>
              <w:pStyle w:val="Paragraphedeliste"/>
              <w:rPr>
                <w:b/>
                <w:color w:val="2E74B5" w:themeColor="accent1" w:themeShade="BF"/>
                <w:sz w:val="28"/>
              </w:rPr>
            </w:pPr>
          </w:p>
          <w:tbl>
            <w:tblPr>
              <w:tblpPr w:leftFromText="141" w:rightFromText="141" w:vertAnchor="text" w:horzAnchor="margin" w:tblpY="-11"/>
              <w:tblOverlap w:val="never"/>
              <w:tblW w:w="8849" w:type="dxa"/>
              <w:tblBorders>
                <w:top w:val="nil"/>
                <w:left w:val="nil"/>
                <w:bottom w:val="nil"/>
                <w:right w:val="nil"/>
              </w:tblBorders>
              <w:tblLayout w:type="fixed"/>
              <w:tblLook w:val="0000" w:firstRow="0" w:lastRow="0" w:firstColumn="0" w:lastColumn="0" w:noHBand="0" w:noVBand="0"/>
            </w:tblPr>
            <w:tblGrid>
              <w:gridCol w:w="8849"/>
            </w:tblGrid>
            <w:tr w:rsidR="00B668C0" w14:paraId="35D6130B" w14:textId="77777777" w:rsidTr="009F3F44">
              <w:trPr>
                <w:trHeight w:val="412"/>
              </w:trPr>
              <w:tc>
                <w:tcPr>
                  <w:tcW w:w="8849" w:type="dxa"/>
                </w:tcPr>
                <w:p w14:paraId="07FA13BA" w14:textId="77777777" w:rsidR="00EB3AEE" w:rsidRPr="00C42540" w:rsidRDefault="00EB3AEE" w:rsidP="00EB3AEE">
                  <w:pPr>
                    <w:pStyle w:val="Paragraphedeliste"/>
                    <w:numPr>
                      <w:ilvl w:val="0"/>
                      <w:numId w:val="1"/>
                    </w:numPr>
                    <w:rPr>
                      <w:b/>
                      <w:color w:val="C00000"/>
                      <w:sz w:val="28"/>
                    </w:rPr>
                  </w:pPr>
                  <w:r w:rsidRPr="00C42540">
                    <w:rPr>
                      <w:b/>
                      <w:color w:val="C00000"/>
                      <w:sz w:val="28"/>
                    </w:rPr>
                    <w:lastRenderedPageBreak/>
                    <w:t xml:space="preserve">Thématiques </w:t>
                  </w:r>
                </w:p>
                <w:p w14:paraId="1FD371F5" w14:textId="4BA05CDE" w:rsidR="005F345A" w:rsidRDefault="00B668C0" w:rsidP="00B668C0">
                  <w:pPr>
                    <w:pStyle w:val="Default"/>
                    <w:jc w:val="both"/>
                    <w:rPr>
                      <w:sz w:val="23"/>
                      <w:szCs w:val="23"/>
                    </w:rPr>
                  </w:pPr>
                  <w:r>
                    <w:rPr>
                      <w:sz w:val="23"/>
                      <w:szCs w:val="23"/>
                    </w:rPr>
                    <w:t>Afin de répondre aux attentes des industriels de l’industrie de la mécanique</w:t>
                  </w:r>
                  <w:r w:rsidR="00696D89">
                    <w:rPr>
                      <w:sz w:val="23"/>
                      <w:szCs w:val="23"/>
                    </w:rPr>
                    <w:t xml:space="preserve"> et des industries affiliées</w:t>
                  </w:r>
                  <w:r>
                    <w:rPr>
                      <w:sz w:val="23"/>
                      <w:szCs w:val="23"/>
                    </w:rPr>
                    <w:t>, les thématiques identifiées prioritairement pour cet appel à projets sont les suivantes :</w:t>
                  </w:r>
                </w:p>
                <w:p w14:paraId="0DC77E00" w14:textId="77777777" w:rsidR="005A3634" w:rsidRDefault="005A3634" w:rsidP="00B668C0">
                  <w:pPr>
                    <w:pStyle w:val="Default"/>
                    <w:jc w:val="both"/>
                    <w:rPr>
                      <w:sz w:val="23"/>
                      <w:szCs w:val="23"/>
                    </w:rPr>
                  </w:pPr>
                </w:p>
                <w:p w14:paraId="6A442BD2" w14:textId="77777777" w:rsidR="00082CFF" w:rsidRDefault="00B668C0" w:rsidP="00034657">
                  <w:pPr>
                    <w:numPr>
                      <w:ilvl w:val="0"/>
                      <w:numId w:val="8"/>
                    </w:numPr>
                    <w:spacing w:after="0" w:line="240" w:lineRule="auto"/>
                    <w:textAlignment w:val="center"/>
                    <w:rPr>
                      <w:lang w:eastAsia="fr-FR"/>
                    </w:rPr>
                  </w:pPr>
                  <w:r>
                    <w:rPr>
                      <w:lang w:eastAsia="fr-FR"/>
                    </w:rPr>
                    <w:t>Capteurs à destination de Contrôle Non-Destructif (CND)</w:t>
                  </w:r>
                </w:p>
                <w:p w14:paraId="3939901B" w14:textId="21C57869" w:rsidR="00B668C0" w:rsidRDefault="00082CFF" w:rsidP="00034657">
                  <w:pPr>
                    <w:numPr>
                      <w:ilvl w:val="0"/>
                      <w:numId w:val="8"/>
                    </w:numPr>
                    <w:spacing w:after="0" w:line="240" w:lineRule="auto"/>
                    <w:textAlignment w:val="center"/>
                    <w:rPr>
                      <w:lang w:eastAsia="fr-FR"/>
                    </w:rPr>
                  </w:pPr>
                  <w:r>
                    <w:rPr>
                      <w:lang w:eastAsia="fr-FR"/>
                    </w:rPr>
                    <w:t xml:space="preserve">Internet des objets (IoT) : du capteur jusqu’au machine </w:t>
                  </w:r>
                  <w:proofErr w:type="spellStart"/>
                  <w:r>
                    <w:rPr>
                      <w:lang w:eastAsia="fr-FR"/>
                    </w:rPr>
                    <w:t>learning</w:t>
                  </w:r>
                  <w:proofErr w:type="spellEnd"/>
                  <w:r>
                    <w:rPr>
                      <w:lang w:eastAsia="fr-FR"/>
                    </w:rPr>
                    <w:t xml:space="preserve"> </w:t>
                  </w:r>
                  <w:r w:rsidR="00696D89">
                    <w:rPr>
                      <w:lang w:eastAsia="fr-FR"/>
                    </w:rPr>
                    <w:t>;</w:t>
                  </w:r>
                </w:p>
                <w:p w14:paraId="705A27EF" w14:textId="0D48CEA4" w:rsidR="00B668C0" w:rsidRDefault="00B668C0" w:rsidP="00034657">
                  <w:pPr>
                    <w:numPr>
                      <w:ilvl w:val="0"/>
                      <w:numId w:val="8"/>
                    </w:numPr>
                    <w:spacing w:after="0" w:line="240" w:lineRule="auto"/>
                    <w:textAlignment w:val="center"/>
                    <w:rPr>
                      <w:lang w:eastAsia="fr-FR"/>
                    </w:rPr>
                  </w:pPr>
                  <w:r>
                    <w:rPr>
                      <w:lang w:eastAsia="fr-FR"/>
                    </w:rPr>
                    <w:t>Intégrité des matériaux et des surfaces : conception fiabiliste (</w:t>
                  </w:r>
                  <w:r w:rsidR="00E53FFD">
                    <w:rPr>
                      <w:lang w:eastAsia="fr-FR"/>
                    </w:rPr>
                    <w:t>fatigue</w:t>
                  </w:r>
                  <w:r>
                    <w:rPr>
                      <w:lang w:eastAsia="fr-FR"/>
                    </w:rPr>
                    <w:t>…)</w:t>
                  </w:r>
                  <w:r w:rsidR="00696D89">
                    <w:rPr>
                      <w:lang w:eastAsia="fr-FR"/>
                    </w:rPr>
                    <w:t> ;</w:t>
                  </w:r>
                </w:p>
                <w:p w14:paraId="4DBAEAA5" w14:textId="6126EAF6" w:rsidR="00B668C0" w:rsidRDefault="00B668C0" w:rsidP="00034657">
                  <w:pPr>
                    <w:numPr>
                      <w:ilvl w:val="0"/>
                      <w:numId w:val="8"/>
                    </w:numPr>
                    <w:spacing w:after="0" w:line="240" w:lineRule="auto"/>
                    <w:textAlignment w:val="center"/>
                    <w:rPr>
                      <w:lang w:eastAsia="fr-FR"/>
                    </w:rPr>
                  </w:pPr>
                  <w:r>
                    <w:rPr>
                      <w:lang w:eastAsia="fr-FR"/>
                    </w:rPr>
                    <w:t xml:space="preserve">Surveillance et </w:t>
                  </w:r>
                  <w:r w:rsidR="005A3634">
                    <w:rPr>
                      <w:lang w:eastAsia="fr-FR"/>
                    </w:rPr>
                    <w:t>monitoring</w:t>
                  </w:r>
                  <w:r w:rsidR="00EB3AEE">
                    <w:rPr>
                      <w:lang w:eastAsia="fr-FR"/>
                    </w:rPr>
                    <w:t xml:space="preserve"> </w:t>
                  </w:r>
                  <w:r>
                    <w:rPr>
                      <w:lang w:eastAsia="fr-FR"/>
                    </w:rPr>
                    <w:t xml:space="preserve">des systèmes (procédés industriels </w:t>
                  </w:r>
                  <w:r w:rsidR="005A3634">
                    <w:rPr>
                      <w:lang w:eastAsia="fr-FR"/>
                    </w:rPr>
                    <w:t>et/</w:t>
                  </w:r>
                  <w:r>
                    <w:rPr>
                      <w:lang w:eastAsia="fr-FR"/>
                    </w:rPr>
                    <w:t>ou équipements</w:t>
                  </w:r>
                  <w:r w:rsidR="001A3455">
                    <w:rPr>
                      <w:lang w:eastAsia="fr-FR"/>
                    </w:rPr>
                    <w:t>…</w:t>
                  </w:r>
                  <w:r>
                    <w:rPr>
                      <w:lang w:eastAsia="fr-FR"/>
                    </w:rPr>
                    <w:t>)</w:t>
                  </w:r>
                  <w:r w:rsidR="00696D89">
                    <w:rPr>
                      <w:lang w:eastAsia="fr-FR"/>
                    </w:rPr>
                    <w:t> ;</w:t>
                  </w:r>
                </w:p>
                <w:p w14:paraId="16C8884C" w14:textId="37207ECA" w:rsidR="00B668C0" w:rsidRDefault="00B668C0" w:rsidP="00034657">
                  <w:pPr>
                    <w:numPr>
                      <w:ilvl w:val="0"/>
                      <w:numId w:val="8"/>
                    </w:numPr>
                    <w:spacing w:after="0" w:line="240" w:lineRule="auto"/>
                    <w:textAlignment w:val="center"/>
                    <w:rPr>
                      <w:lang w:eastAsia="fr-FR"/>
                    </w:rPr>
                  </w:pPr>
                  <w:r>
                    <w:rPr>
                      <w:lang w:eastAsia="fr-FR"/>
                    </w:rPr>
                    <w:t>Fabrication additive : caractérisation matériau, chaine numérique en amont de la fabrication additive</w:t>
                  </w:r>
                  <w:r w:rsidR="00A97782">
                    <w:rPr>
                      <w:lang w:eastAsia="fr-FR"/>
                    </w:rPr>
                    <w:t>, caractérisation produit</w:t>
                  </w:r>
                  <w:r w:rsidR="00082CFF">
                    <w:rPr>
                      <w:lang w:eastAsia="fr-FR"/>
                    </w:rPr>
                    <w:t>, intégration de capteurs</w:t>
                  </w:r>
                  <w:r w:rsidR="00696D89">
                    <w:rPr>
                      <w:lang w:eastAsia="fr-FR"/>
                    </w:rPr>
                    <w:t> ;</w:t>
                  </w:r>
                </w:p>
                <w:p w14:paraId="2621829C" w14:textId="6D36E8AD" w:rsidR="00B668C0" w:rsidRDefault="00B668C0" w:rsidP="00034657">
                  <w:pPr>
                    <w:numPr>
                      <w:ilvl w:val="0"/>
                      <w:numId w:val="8"/>
                    </w:numPr>
                    <w:spacing w:after="0" w:line="240" w:lineRule="auto"/>
                    <w:textAlignment w:val="center"/>
                    <w:rPr>
                      <w:lang w:eastAsia="fr-FR"/>
                    </w:rPr>
                  </w:pPr>
                  <w:r>
                    <w:rPr>
                      <w:lang w:eastAsia="fr-FR"/>
                    </w:rPr>
                    <w:t>Machines et procédés intelligents</w:t>
                  </w:r>
                  <w:r w:rsidR="00696D89">
                    <w:rPr>
                      <w:lang w:eastAsia="fr-FR"/>
                    </w:rPr>
                    <w:t> ;</w:t>
                  </w:r>
                </w:p>
                <w:p w14:paraId="6E9C5A95" w14:textId="67C48D11" w:rsidR="00B668C0" w:rsidRDefault="00B668C0" w:rsidP="00034657">
                  <w:pPr>
                    <w:numPr>
                      <w:ilvl w:val="0"/>
                      <w:numId w:val="8"/>
                    </w:numPr>
                    <w:spacing w:after="0" w:line="240" w:lineRule="auto"/>
                    <w:textAlignment w:val="center"/>
                    <w:rPr>
                      <w:lang w:eastAsia="fr-FR"/>
                    </w:rPr>
                  </w:pPr>
                  <w:r>
                    <w:rPr>
                      <w:lang w:eastAsia="fr-FR"/>
                    </w:rPr>
                    <w:t>Ma</w:t>
                  </w:r>
                  <w:r w:rsidR="00EB3AEE">
                    <w:rPr>
                      <w:lang w:eastAsia="fr-FR"/>
                    </w:rPr>
                    <w:t>tériaux composites : conception</w:t>
                  </w:r>
                  <w:r>
                    <w:rPr>
                      <w:lang w:eastAsia="fr-FR"/>
                    </w:rPr>
                    <w:t xml:space="preserve">, </w:t>
                  </w:r>
                  <w:r w:rsidR="00405D5B">
                    <w:rPr>
                      <w:lang w:eastAsia="fr-FR"/>
                    </w:rPr>
                    <w:t>mise en œuvre, caractérisation et contrôle</w:t>
                  </w:r>
                  <w:r w:rsidR="00EB3AEE">
                    <w:rPr>
                      <w:lang w:eastAsia="fr-FR"/>
                    </w:rPr>
                    <w:t>,</w:t>
                  </w:r>
                  <w:r w:rsidR="00405D5B">
                    <w:rPr>
                      <w:lang w:eastAsia="fr-FR"/>
                    </w:rPr>
                    <w:t xml:space="preserve"> </w:t>
                  </w:r>
                  <w:r w:rsidR="00696D89">
                    <w:rPr>
                      <w:lang w:eastAsia="fr-FR"/>
                    </w:rPr>
                    <w:t>fatigue du composite ;</w:t>
                  </w:r>
                </w:p>
                <w:p w14:paraId="7F4C0401" w14:textId="0379D401" w:rsidR="00B668C0" w:rsidRDefault="00B668C0" w:rsidP="00034657">
                  <w:pPr>
                    <w:numPr>
                      <w:ilvl w:val="0"/>
                      <w:numId w:val="8"/>
                    </w:numPr>
                    <w:spacing w:after="0" w:line="240" w:lineRule="auto"/>
                    <w:textAlignment w:val="center"/>
                    <w:rPr>
                      <w:lang w:eastAsia="fr-FR"/>
                    </w:rPr>
                  </w:pPr>
                  <w:r>
                    <w:rPr>
                      <w:lang w:eastAsia="fr-FR"/>
                    </w:rPr>
                    <w:t>Surface : étanchéité, résistance à la corrosion, fonctionnali</w:t>
                  </w:r>
                  <w:r w:rsidR="00405D5B">
                    <w:rPr>
                      <w:lang w:eastAsia="fr-FR"/>
                    </w:rPr>
                    <w:t>sation</w:t>
                  </w:r>
                  <w:r>
                    <w:rPr>
                      <w:lang w:eastAsia="fr-FR"/>
                    </w:rPr>
                    <w:t xml:space="preserve"> de surface, tribologie</w:t>
                  </w:r>
                  <w:r w:rsidR="00696D89">
                    <w:rPr>
                      <w:lang w:eastAsia="fr-FR"/>
                    </w:rPr>
                    <w:t> ;</w:t>
                  </w:r>
                </w:p>
                <w:p w14:paraId="2242A090" w14:textId="30E2BFA3" w:rsidR="00B668C0" w:rsidRDefault="00B668C0" w:rsidP="00034657">
                  <w:pPr>
                    <w:numPr>
                      <w:ilvl w:val="0"/>
                      <w:numId w:val="8"/>
                    </w:numPr>
                    <w:spacing w:after="0" w:line="240" w:lineRule="auto"/>
                    <w:textAlignment w:val="center"/>
                    <w:rPr>
                      <w:lang w:eastAsia="fr-FR"/>
                    </w:rPr>
                  </w:pPr>
                  <w:r>
                    <w:rPr>
                      <w:lang w:eastAsia="fr-FR"/>
                    </w:rPr>
                    <w:t>Assemblage : amélioration de la durabilité des assemblages, critères d'endommagement</w:t>
                  </w:r>
                  <w:r w:rsidR="00405D5B">
                    <w:rPr>
                      <w:lang w:eastAsia="fr-FR"/>
                    </w:rPr>
                    <w:t>, assemblage multi-matériaux</w:t>
                  </w:r>
                  <w:r w:rsidR="00696D89">
                    <w:rPr>
                      <w:lang w:eastAsia="fr-FR"/>
                    </w:rPr>
                    <w:t> ;</w:t>
                  </w:r>
                </w:p>
                <w:p w14:paraId="71167413" w14:textId="28DA429F" w:rsidR="00B668C0" w:rsidRDefault="00405D5B" w:rsidP="00034657">
                  <w:pPr>
                    <w:numPr>
                      <w:ilvl w:val="0"/>
                      <w:numId w:val="8"/>
                    </w:numPr>
                    <w:spacing w:after="0" w:line="240" w:lineRule="auto"/>
                    <w:textAlignment w:val="center"/>
                    <w:rPr>
                      <w:lang w:eastAsia="fr-FR"/>
                    </w:rPr>
                  </w:pPr>
                  <w:r>
                    <w:rPr>
                      <w:lang w:eastAsia="fr-FR"/>
                    </w:rPr>
                    <w:t xml:space="preserve">Capteurs et </w:t>
                  </w:r>
                  <w:r w:rsidR="00B668C0">
                    <w:rPr>
                      <w:lang w:eastAsia="fr-FR"/>
                    </w:rPr>
                    <w:t>Instrumentation des procédés de fabrication</w:t>
                  </w:r>
                  <w:r w:rsidR="005B5978">
                    <w:rPr>
                      <w:lang w:eastAsia="fr-FR"/>
                    </w:rPr>
                    <w:t xml:space="preserve">, </w:t>
                  </w:r>
                  <w:r>
                    <w:rPr>
                      <w:lang w:eastAsia="fr-FR"/>
                    </w:rPr>
                    <w:t xml:space="preserve">équipements </w:t>
                  </w:r>
                  <w:r w:rsidR="005B5978">
                    <w:rPr>
                      <w:lang w:eastAsia="fr-FR"/>
                    </w:rPr>
                    <w:t>et systèmes flu</w:t>
                  </w:r>
                  <w:r w:rsidR="00F26C68">
                    <w:rPr>
                      <w:lang w:eastAsia="fr-FR"/>
                    </w:rPr>
                    <w:t>i</w:t>
                  </w:r>
                  <w:r w:rsidR="005B5978">
                    <w:rPr>
                      <w:lang w:eastAsia="fr-FR"/>
                    </w:rPr>
                    <w:t>diques</w:t>
                  </w:r>
                  <w:r w:rsidR="00696D89">
                    <w:rPr>
                      <w:lang w:eastAsia="fr-FR"/>
                    </w:rPr>
                    <w:t> ;</w:t>
                  </w:r>
                </w:p>
                <w:p w14:paraId="056FECD9" w14:textId="0812377A" w:rsidR="00481779" w:rsidRDefault="00481779" w:rsidP="00034657">
                  <w:pPr>
                    <w:numPr>
                      <w:ilvl w:val="0"/>
                      <w:numId w:val="8"/>
                    </w:numPr>
                    <w:spacing w:after="0" w:line="240" w:lineRule="auto"/>
                    <w:textAlignment w:val="center"/>
                    <w:rPr>
                      <w:lang w:eastAsia="fr-FR"/>
                    </w:rPr>
                  </w:pPr>
                  <w:r>
                    <w:rPr>
                      <w:lang w:eastAsia="fr-FR"/>
                    </w:rPr>
                    <w:t>Procédés et technologies propres (éco technologies…)</w:t>
                  </w:r>
                  <w:r w:rsidR="00696D89">
                    <w:rPr>
                      <w:lang w:eastAsia="fr-FR"/>
                    </w:rPr>
                    <w:t> ;</w:t>
                  </w:r>
                </w:p>
                <w:p w14:paraId="31DE02B2" w14:textId="60D89D86" w:rsidR="003C1926" w:rsidRDefault="003C1926" w:rsidP="00EB3AEE">
                  <w:pPr>
                    <w:numPr>
                      <w:ilvl w:val="0"/>
                      <w:numId w:val="8"/>
                    </w:numPr>
                    <w:spacing w:after="0" w:line="240" w:lineRule="auto"/>
                    <w:textAlignment w:val="center"/>
                    <w:rPr>
                      <w:lang w:eastAsia="fr-FR"/>
                    </w:rPr>
                  </w:pPr>
                  <w:r>
                    <w:rPr>
                      <w:lang w:eastAsia="fr-FR"/>
                    </w:rPr>
                    <w:t>Efficacité énergétique des composants et systèmes</w:t>
                  </w:r>
                  <w:r w:rsidR="00696D89">
                    <w:rPr>
                      <w:lang w:eastAsia="fr-FR"/>
                    </w:rPr>
                    <w:t> ;</w:t>
                  </w:r>
                </w:p>
                <w:p w14:paraId="2D1A338B" w14:textId="2FEED0AE" w:rsidR="00632F3F" w:rsidRDefault="00632F3F" w:rsidP="00EB3AEE">
                  <w:pPr>
                    <w:numPr>
                      <w:ilvl w:val="0"/>
                      <w:numId w:val="8"/>
                    </w:numPr>
                    <w:spacing w:after="0" w:line="240" w:lineRule="auto"/>
                    <w:textAlignment w:val="center"/>
                    <w:rPr>
                      <w:lang w:eastAsia="fr-FR"/>
                    </w:rPr>
                  </w:pPr>
                  <w:r>
                    <w:rPr>
                      <w:lang w:eastAsia="fr-FR"/>
                    </w:rPr>
                    <w:t>Modélisation &amp; simulation numérique des syst</w:t>
                  </w:r>
                  <w:r w:rsidR="00696D89">
                    <w:rPr>
                      <w:lang w:eastAsia="fr-FR"/>
                    </w:rPr>
                    <w:t>èmes multi-physiques.</w:t>
                  </w:r>
                </w:p>
                <w:p w14:paraId="61381CE8" w14:textId="77777777" w:rsidR="005B5978" w:rsidRDefault="005B5978" w:rsidP="00EB3AEE">
                  <w:pPr>
                    <w:spacing w:after="0" w:line="240" w:lineRule="auto"/>
                    <w:ind w:left="720"/>
                    <w:textAlignment w:val="center"/>
                    <w:rPr>
                      <w:lang w:eastAsia="fr-FR"/>
                    </w:rPr>
                  </w:pPr>
                </w:p>
                <w:p w14:paraId="40B9E013" w14:textId="77777777" w:rsidR="00B668C0" w:rsidRDefault="00B668C0" w:rsidP="00B668C0">
                  <w:pPr>
                    <w:pStyle w:val="Default"/>
                    <w:jc w:val="both"/>
                    <w:rPr>
                      <w:sz w:val="23"/>
                      <w:szCs w:val="23"/>
                    </w:rPr>
                  </w:pPr>
                </w:p>
              </w:tc>
            </w:tr>
          </w:tbl>
          <w:p w14:paraId="70A5542D" w14:textId="77777777" w:rsidR="00A70D2B" w:rsidRPr="00C42540" w:rsidRDefault="00A70D2B" w:rsidP="00A70D2B">
            <w:pPr>
              <w:pStyle w:val="Paragraphedeliste"/>
              <w:numPr>
                <w:ilvl w:val="0"/>
                <w:numId w:val="1"/>
              </w:numPr>
              <w:rPr>
                <w:b/>
                <w:color w:val="C00000"/>
                <w:sz w:val="28"/>
              </w:rPr>
            </w:pPr>
            <w:r w:rsidRPr="00C42540">
              <w:rPr>
                <w:b/>
                <w:color w:val="C00000"/>
                <w:sz w:val="28"/>
              </w:rPr>
              <w:t xml:space="preserve">Sélection des projets </w:t>
            </w:r>
          </w:p>
          <w:p w14:paraId="119B319F" w14:textId="17E970A8" w:rsidR="005F345A" w:rsidRDefault="00A70D2B" w:rsidP="00A70D2B">
            <w:pPr>
              <w:pStyle w:val="Default"/>
              <w:jc w:val="both"/>
              <w:rPr>
                <w:sz w:val="23"/>
                <w:szCs w:val="23"/>
              </w:rPr>
            </w:pPr>
            <w:r>
              <w:rPr>
                <w:sz w:val="23"/>
                <w:szCs w:val="23"/>
              </w:rPr>
              <w:t>Les critères suivants seront utilisés pour évaluer les projets en vue de leur sélection par les SATT</w:t>
            </w:r>
            <w:r w:rsidR="00B71C0D">
              <w:rPr>
                <w:sz w:val="23"/>
                <w:szCs w:val="23"/>
              </w:rPr>
              <w:t xml:space="preserve"> et le CETIM</w:t>
            </w:r>
            <w:r>
              <w:rPr>
                <w:sz w:val="23"/>
                <w:szCs w:val="23"/>
              </w:rPr>
              <w:t xml:space="preserve">, selon leur périmètre, </w:t>
            </w:r>
            <w:r w:rsidR="00082CFF">
              <w:rPr>
                <w:sz w:val="23"/>
                <w:szCs w:val="23"/>
              </w:rPr>
              <w:t xml:space="preserve">et </w:t>
            </w:r>
            <w:r>
              <w:rPr>
                <w:sz w:val="23"/>
                <w:szCs w:val="23"/>
              </w:rPr>
              <w:t xml:space="preserve">à leur seule discrétion : </w:t>
            </w:r>
          </w:p>
          <w:p w14:paraId="09CB4A33" w14:textId="77777777" w:rsidR="00A70D2B" w:rsidRDefault="00A70D2B" w:rsidP="00A70D2B">
            <w:pPr>
              <w:pStyle w:val="Default"/>
              <w:numPr>
                <w:ilvl w:val="0"/>
                <w:numId w:val="2"/>
              </w:numPr>
              <w:jc w:val="both"/>
              <w:rPr>
                <w:sz w:val="23"/>
                <w:szCs w:val="23"/>
              </w:rPr>
            </w:pPr>
            <w:r>
              <w:rPr>
                <w:sz w:val="23"/>
                <w:szCs w:val="23"/>
              </w:rPr>
              <w:t>Expertise du/des porteurs de projet dans le domaine</w:t>
            </w:r>
            <w:r w:rsidR="00E504CA">
              <w:rPr>
                <w:sz w:val="23"/>
                <w:szCs w:val="23"/>
              </w:rPr>
              <w:t> </w:t>
            </w:r>
            <w:r>
              <w:rPr>
                <w:sz w:val="23"/>
                <w:szCs w:val="23"/>
              </w:rPr>
              <w:t>;</w:t>
            </w:r>
          </w:p>
          <w:p w14:paraId="56EA4B29" w14:textId="77777777" w:rsidR="00A70D2B" w:rsidRDefault="009033AC" w:rsidP="00A70D2B">
            <w:pPr>
              <w:pStyle w:val="Default"/>
              <w:numPr>
                <w:ilvl w:val="0"/>
                <w:numId w:val="2"/>
              </w:numPr>
              <w:jc w:val="both"/>
              <w:rPr>
                <w:sz w:val="23"/>
                <w:szCs w:val="23"/>
              </w:rPr>
            </w:pPr>
            <w:r>
              <w:rPr>
                <w:sz w:val="23"/>
                <w:szCs w:val="23"/>
              </w:rPr>
              <w:t xml:space="preserve">Identification du </w:t>
            </w:r>
            <w:r w:rsidR="00E504CA">
              <w:rPr>
                <w:sz w:val="23"/>
                <w:szCs w:val="23"/>
              </w:rPr>
              <w:t>potentiel applicatif </w:t>
            </w:r>
            <w:r w:rsidR="00A70D2B" w:rsidRPr="00A70D2B">
              <w:rPr>
                <w:sz w:val="23"/>
                <w:szCs w:val="23"/>
              </w:rPr>
              <w:t>;</w:t>
            </w:r>
          </w:p>
          <w:p w14:paraId="75524C6B" w14:textId="77777777" w:rsidR="00A70D2B" w:rsidRDefault="00A70D2B" w:rsidP="00A70D2B">
            <w:pPr>
              <w:pStyle w:val="Default"/>
              <w:numPr>
                <w:ilvl w:val="0"/>
                <w:numId w:val="2"/>
              </w:numPr>
              <w:jc w:val="both"/>
              <w:rPr>
                <w:sz w:val="23"/>
                <w:szCs w:val="23"/>
              </w:rPr>
            </w:pPr>
            <w:r w:rsidRPr="00A70D2B">
              <w:rPr>
                <w:sz w:val="23"/>
                <w:szCs w:val="23"/>
              </w:rPr>
              <w:t>S</w:t>
            </w:r>
            <w:r w:rsidR="00E504CA">
              <w:rPr>
                <w:sz w:val="23"/>
                <w:szCs w:val="23"/>
              </w:rPr>
              <w:t>tade de développement du projet </w:t>
            </w:r>
            <w:r w:rsidRPr="00A70D2B">
              <w:rPr>
                <w:sz w:val="23"/>
                <w:szCs w:val="23"/>
              </w:rPr>
              <w:t>;</w:t>
            </w:r>
          </w:p>
          <w:p w14:paraId="714A8D9E" w14:textId="77777777" w:rsidR="00E504CA" w:rsidRDefault="00E504CA" w:rsidP="00A70D2B">
            <w:pPr>
              <w:pStyle w:val="Default"/>
              <w:numPr>
                <w:ilvl w:val="0"/>
                <w:numId w:val="2"/>
              </w:numPr>
              <w:jc w:val="both"/>
              <w:rPr>
                <w:sz w:val="23"/>
                <w:szCs w:val="23"/>
              </w:rPr>
            </w:pPr>
            <w:r>
              <w:rPr>
                <w:sz w:val="23"/>
                <w:szCs w:val="23"/>
              </w:rPr>
              <w:t>Identification de la propriété intellectuelle associée aux développements réalisés, et des droits des tiers existants ;</w:t>
            </w:r>
          </w:p>
          <w:p w14:paraId="5427E434" w14:textId="77777777" w:rsidR="00A70D2B" w:rsidRDefault="00E504CA" w:rsidP="00A70D2B">
            <w:pPr>
              <w:pStyle w:val="Default"/>
              <w:numPr>
                <w:ilvl w:val="0"/>
                <w:numId w:val="2"/>
              </w:numPr>
              <w:jc w:val="both"/>
              <w:rPr>
                <w:sz w:val="23"/>
                <w:szCs w:val="23"/>
              </w:rPr>
            </w:pPr>
            <w:r>
              <w:rPr>
                <w:sz w:val="23"/>
                <w:szCs w:val="23"/>
              </w:rPr>
              <w:t>Valeur</w:t>
            </w:r>
            <w:r w:rsidR="00A70D2B" w:rsidRPr="00A70D2B">
              <w:rPr>
                <w:sz w:val="23"/>
                <w:szCs w:val="23"/>
              </w:rPr>
              <w:t xml:space="preserve"> é</w:t>
            </w:r>
            <w:r>
              <w:rPr>
                <w:sz w:val="23"/>
                <w:szCs w:val="23"/>
              </w:rPr>
              <w:t>conomique créée ;</w:t>
            </w:r>
          </w:p>
          <w:p w14:paraId="196A77D5" w14:textId="6217908E" w:rsidR="00A70D2B" w:rsidRDefault="00A70D2B" w:rsidP="00A70D2B">
            <w:pPr>
              <w:pStyle w:val="Default"/>
              <w:numPr>
                <w:ilvl w:val="0"/>
                <w:numId w:val="2"/>
              </w:numPr>
              <w:jc w:val="both"/>
              <w:rPr>
                <w:sz w:val="23"/>
                <w:szCs w:val="23"/>
              </w:rPr>
            </w:pPr>
            <w:r w:rsidRPr="00A70D2B">
              <w:rPr>
                <w:sz w:val="23"/>
                <w:szCs w:val="23"/>
              </w:rPr>
              <w:t xml:space="preserve">Cohérence entre le dimensionnement </w:t>
            </w:r>
            <w:r w:rsidR="00297B7D">
              <w:rPr>
                <w:sz w:val="23"/>
                <w:szCs w:val="23"/>
              </w:rPr>
              <w:t>du programme de maturation (ressources, coût) et le potentiel de retour économique</w:t>
            </w:r>
            <w:r w:rsidR="00696D89">
              <w:rPr>
                <w:sz w:val="23"/>
                <w:szCs w:val="23"/>
              </w:rPr>
              <w:t>.</w:t>
            </w:r>
          </w:p>
          <w:p w14:paraId="2483F129" w14:textId="77777777" w:rsidR="009F6225" w:rsidRPr="009F6225" w:rsidRDefault="009F6225" w:rsidP="009F6225">
            <w:pPr>
              <w:pStyle w:val="Default"/>
              <w:jc w:val="both"/>
              <w:rPr>
                <w:sz w:val="23"/>
                <w:szCs w:val="23"/>
              </w:rPr>
            </w:pPr>
          </w:p>
          <w:p w14:paraId="74C77002" w14:textId="77777777" w:rsidR="00A70D2B" w:rsidRPr="00CE245F" w:rsidRDefault="00A70D2B" w:rsidP="00A70D2B">
            <w:pPr>
              <w:pStyle w:val="Default"/>
              <w:rPr>
                <w:b/>
                <w:sz w:val="23"/>
                <w:szCs w:val="23"/>
              </w:rPr>
            </w:pPr>
            <w:r w:rsidRPr="00A70D2B">
              <w:rPr>
                <w:b/>
                <w:sz w:val="23"/>
                <w:szCs w:val="23"/>
              </w:rPr>
              <w:t xml:space="preserve">Les dépenses suivantes sont éligibles à l’appel à projets : </w:t>
            </w:r>
          </w:p>
          <w:p w14:paraId="642A03F0" w14:textId="5EDD0B23" w:rsidR="00D009C0" w:rsidRDefault="00D009C0" w:rsidP="00D009C0">
            <w:pPr>
              <w:pStyle w:val="Default"/>
              <w:numPr>
                <w:ilvl w:val="0"/>
                <w:numId w:val="2"/>
              </w:numPr>
              <w:rPr>
                <w:sz w:val="23"/>
                <w:szCs w:val="23"/>
              </w:rPr>
            </w:pPr>
            <w:r w:rsidRPr="00D009C0">
              <w:rPr>
                <w:sz w:val="23"/>
                <w:szCs w:val="23"/>
              </w:rPr>
              <w:t>Achat de petits équipements dédiés au projet à la réalisation de prototype</w:t>
            </w:r>
            <w:r w:rsidR="00696D89">
              <w:rPr>
                <w:sz w:val="23"/>
                <w:szCs w:val="23"/>
              </w:rPr>
              <w:t> ;</w:t>
            </w:r>
          </w:p>
          <w:p w14:paraId="3AE5EB40" w14:textId="77777777" w:rsidR="00A70D2B" w:rsidRDefault="00A70D2B" w:rsidP="00A70D2B">
            <w:pPr>
              <w:pStyle w:val="Default"/>
              <w:numPr>
                <w:ilvl w:val="0"/>
                <w:numId w:val="2"/>
              </w:numPr>
              <w:rPr>
                <w:sz w:val="23"/>
                <w:szCs w:val="23"/>
              </w:rPr>
            </w:pPr>
            <w:r w:rsidRPr="00A70D2B">
              <w:rPr>
                <w:sz w:val="23"/>
                <w:szCs w:val="23"/>
              </w:rPr>
              <w:t>Achat de consommables dédiés au projet ;</w:t>
            </w:r>
          </w:p>
          <w:p w14:paraId="217EC0A8" w14:textId="77777777" w:rsidR="00A70D2B" w:rsidRDefault="00A70D2B" w:rsidP="00A70D2B">
            <w:pPr>
              <w:pStyle w:val="Default"/>
              <w:numPr>
                <w:ilvl w:val="0"/>
                <w:numId w:val="2"/>
              </w:numPr>
              <w:rPr>
                <w:sz w:val="23"/>
                <w:szCs w:val="23"/>
              </w:rPr>
            </w:pPr>
            <w:r w:rsidRPr="00A70D2B">
              <w:rPr>
                <w:sz w:val="23"/>
                <w:szCs w:val="23"/>
              </w:rPr>
              <w:t>Recrutement de personnel dédié au projet ;</w:t>
            </w:r>
          </w:p>
          <w:p w14:paraId="16B1AEAC" w14:textId="327F2E8F" w:rsidR="00A70D2B" w:rsidRDefault="00A70D2B" w:rsidP="00A70D2B">
            <w:pPr>
              <w:pStyle w:val="Default"/>
              <w:numPr>
                <w:ilvl w:val="0"/>
                <w:numId w:val="2"/>
              </w:numPr>
              <w:rPr>
                <w:sz w:val="23"/>
                <w:szCs w:val="23"/>
              </w:rPr>
            </w:pPr>
            <w:r w:rsidRPr="00A70D2B">
              <w:rPr>
                <w:sz w:val="23"/>
                <w:szCs w:val="23"/>
              </w:rPr>
              <w:t xml:space="preserve">Frais de mission </w:t>
            </w:r>
            <w:r w:rsidR="00696D89">
              <w:rPr>
                <w:sz w:val="23"/>
                <w:szCs w:val="23"/>
              </w:rPr>
              <w:t>(selon la SATT concernée) ;</w:t>
            </w:r>
          </w:p>
          <w:p w14:paraId="3986B475" w14:textId="3E4F4284" w:rsidR="00CE245F" w:rsidRDefault="00A70D2B" w:rsidP="00CE245F">
            <w:pPr>
              <w:pStyle w:val="Default"/>
              <w:numPr>
                <w:ilvl w:val="0"/>
                <w:numId w:val="2"/>
              </w:numPr>
              <w:rPr>
                <w:sz w:val="23"/>
                <w:szCs w:val="23"/>
              </w:rPr>
            </w:pPr>
            <w:r w:rsidRPr="00A70D2B">
              <w:rPr>
                <w:sz w:val="23"/>
                <w:szCs w:val="23"/>
              </w:rPr>
              <w:t>Prestations de services auprès de tiers</w:t>
            </w:r>
            <w:r w:rsidR="00082CFF">
              <w:rPr>
                <w:rStyle w:val="Appelnotedebasdep"/>
                <w:sz w:val="23"/>
                <w:szCs w:val="23"/>
              </w:rPr>
              <w:footnoteReference w:id="1"/>
            </w:r>
            <w:r w:rsidRPr="00A70D2B">
              <w:rPr>
                <w:sz w:val="23"/>
                <w:szCs w:val="23"/>
              </w:rPr>
              <w:t>, nécessai</w:t>
            </w:r>
            <w:r w:rsidR="00696D89">
              <w:rPr>
                <w:sz w:val="23"/>
                <w:szCs w:val="23"/>
              </w:rPr>
              <w:t>res à la réalisation du projet.</w:t>
            </w:r>
          </w:p>
          <w:p w14:paraId="01B784A5" w14:textId="5579EE0C" w:rsidR="005E70DB" w:rsidRDefault="005E70DB" w:rsidP="005E70DB">
            <w:pPr>
              <w:pStyle w:val="Default"/>
              <w:rPr>
                <w:sz w:val="23"/>
                <w:szCs w:val="23"/>
              </w:rPr>
            </w:pPr>
          </w:p>
          <w:p w14:paraId="41AE26FD" w14:textId="77777777" w:rsidR="005E70DB" w:rsidRDefault="005E70DB" w:rsidP="005E70DB">
            <w:pPr>
              <w:pStyle w:val="Default"/>
              <w:rPr>
                <w:sz w:val="23"/>
                <w:szCs w:val="23"/>
              </w:rPr>
            </w:pPr>
          </w:p>
          <w:p w14:paraId="7FC5BA47" w14:textId="77777777" w:rsidR="00CE245F" w:rsidRPr="00CE245F" w:rsidRDefault="00CE245F" w:rsidP="00CE245F">
            <w:pPr>
              <w:pStyle w:val="Default"/>
              <w:rPr>
                <w:sz w:val="23"/>
                <w:szCs w:val="23"/>
              </w:rPr>
            </w:pPr>
          </w:p>
          <w:p w14:paraId="5F882476" w14:textId="77777777" w:rsidR="00A70D2B" w:rsidRPr="00C42540" w:rsidRDefault="00A70D2B" w:rsidP="00A70D2B">
            <w:pPr>
              <w:pStyle w:val="Paragraphedeliste"/>
              <w:numPr>
                <w:ilvl w:val="0"/>
                <w:numId w:val="1"/>
              </w:numPr>
              <w:rPr>
                <w:b/>
                <w:color w:val="C00000"/>
                <w:sz w:val="28"/>
              </w:rPr>
            </w:pPr>
            <w:r w:rsidRPr="00C42540">
              <w:rPr>
                <w:b/>
                <w:color w:val="C00000"/>
                <w:sz w:val="28"/>
              </w:rPr>
              <w:lastRenderedPageBreak/>
              <w:t xml:space="preserve">Evaluation des projets </w:t>
            </w:r>
          </w:p>
          <w:p w14:paraId="04EBA7A6" w14:textId="2D11C845" w:rsidR="000C5CDE" w:rsidRDefault="00D009C0" w:rsidP="00FC70FE">
            <w:pPr>
              <w:pStyle w:val="Default"/>
              <w:jc w:val="both"/>
              <w:rPr>
                <w:sz w:val="23"/>
                <w:szCs w:val="23"/>
              </w:rPr>
            </w:pPr>
            <w:r w:rsidRPr="00D009C0">
              <w:rPr>
                <w:sz w:val="23"/>
                <w:szCs w:val="23"/>
              </w:rPr>
              <w:t xml:space="preserve">Les équipes des </w:t>
            </w:r>
            <w:r w:rsidRPr="009E0EFA">
              <w:rPr>
                <w:sz w:val="23"/>
                <w:szCs w:val="23"/>
              </w:rPr>
              <w:t>1</w:t>
            </w:r>
            <w:r w:rsidR="009E0EFA" w:rsidRPr="009E0EFA">
              <w:rPr>
                <w:sz w:val="23"/>
                <w:szCs w:val="23"/>
              </w:rPr>
              <w:t>0</w:t>
            </w:r>
            <w:r w:rsidRPr="00D009C0">
              <w:rPr>
                <w:sz w:val="23"/>
                <w:szCs w:val="23"/>
              </w:rPr>
              <w:t xml:space="preserve"> SATT et les experts thématiques du CETIM étudieront les dossiers retenus selon leur périmètre au regard des critères d’éligibilité cités ci-dessus et des critères de sélection définis plus bas</w:t>
            </w:r>
            <w:r>
              <w:rPr>
                <w:sz w:val="23"/>
                <w:szCs w:val="23"/>
              </w:rPr>
              <w:t xml:space="preserve"> </w:t>
            </w:r>
            <w:r w:rsidRPr="00D009C0">
              <w:rPr>
                <w:sz w:val="23"/>
                <w:szCs w:val="23"/>
              </w:rPr>
              <w:t>de l’appel à projet</w:t>
            </w:r>
            <w:r w:rsidR="00B4403D">
              <w:rPr>
                <w:sz w:val="23"/>
                <w:szCs w:val="23"/>
              </w:rPr>
              <w:t>s</w:t>
            </w:r>
            <w:r w:rsidR="00A70D2B">
              <w:rPr>
                <w:sz w:val="23"/>
                <w:szCs w:val="23"/>
              </w:rPr>
              <w:t xml:space="preserve">. </w:t>
            </w:r>
            <w:r w:rsidR="000C5CDE">
              <w:rPr>
                <w:sz w:val="23"/>
                <w:szCs w:val="23"/>
              </w:rPr>
              <w:t xml:space="preserve">Cette phase d’évaluation se terminera </w:t>
            </w:r>
            <w:r w:rsidR="000C5CDE" w:rsidRPr="009E0EFA">
              <w:rPr>
                <w:sz w:val="23"/>
                <w:szCs w:val="23"/>
              </w:rPr>
              <w:t xml:space="preserve">fin </w:t>
            </w:r>
            <w:r w:rsidR="00274F79" w:rsidRPr="009E0EFA">
              <w:rPr>
                <w:sz w:val="23"/>
                <w:szCs w:val="23"/>
              </w:rPr>
              <w:t>juin 2019</w:t>
            </w:r>
            <w:r w:rsidR="000C5CDE" w:rsidRPr="009E0EFA">
              <w:rPr>
                <w:sz w:val="23"/>
                <w:szCs w:val="23"/>
              </w:rPr>
              <w:t>,</w:t>
            </w:r>
            <w:r w:rsidR="000C5CDE">
              <w:rPr>
                <w:sz w:val="23"/>
                <w:szCs w:val="23"/>
              </w:rPr>
              <w:t xml:space="preserve"> les porteurs des projets seront informés des résultats de cette évaluation par email. Avant de sélectionner un projet, les équipes des SATT pourront être amenées à prendre contact avec le(s) porteur(s) du projet afin d’en préciser certains aspects.</w:t>
            </w:r>
          </w:p>
          <w:p w14:paraId="5F8B4A8B" w14:textId="77777777" w:rsidR="00A70D2B" w:rsidRDefault="004E4F6E" w:rsidP="00FC70FE">
            <w:pPr>
              <w:pStyle w:val="Default"/>
              <w:jc w:val="both"/>
              <w:rPr>
                <w:sz w:val="23"/>
                <w:szCs w:val="23"/>
              </w:rPr>
            </w:pPr>
            <w:r>
              <w:rPr>
                <w:sz w:val="23"/>
                <w:szCs w:val="23"/>
              </w:rPr>
              <w:t xml:space="preserve">Les projets lauréats de cette première phase seront conviés à un </w:t>
            </w:r>
            <w:r w:rsidRPr="0014762F">
              <w:rPr>
                <w:b/>
                <w:sz w:val="23"/>
                <w:szCs w:val="23"/>
              </w:rPr>
              <w:t>évènement organisé en partenariat avec les entreprises</w:t>
            </w:r>
            <w:r w:rsidR="00B55BB5">
              <w:rPr>
                <w:b/>
                <w:sz w:val="23"/>
                <w:szCs w:val="23"/>
              </w:rPr>
              <w:t xml:space="preserve"> mécaniciennes </w:t>
            </w:r>
            <w:r w:rsidR="00EB3AEE">
              <w:rPr>
                <w:b/>
                <w:sz w:val="23"/>
                <w:szCs w:val="23"/>
              </w:rPr>
              <w:t>en lien avec</w:t>
            </w:r>
            <w:r w:rsidRPr="0014762F">
              <w:rPr>
                <w:b/>
                <w:sz w:val="23"/>
                <w:szCs w:val="23"/>
              </w:rPr>
              <w:t xml:space="preserve"> CETIM</w:t>
            </w:r>
            <w:r>
              <w:rPr>
                <w:sz w:val="23"/>
                <w:szCs w:val="23"/>
              </w:rPr>
              <w:t xml:space="preserve">. </w:t>
            </w:r>
            <w:r w:rsidR="0014762F">
              <w:rPr>
                <w:sz w:val="23"/>
                <w:szCs w:val="23"/>
              </w:rPr>
              <w:t xml:space="preserve">Cet échange avec des industriels qualifiés </w:t>
            </w:r>
            <w:r w:rsidR="000C5CDE">
              <w:rPr>
                <w:sz w:val="23"/>
                <w:szCs w:val="23"/>
              </w:rPr>
              <w:t xml:space="preserve">permettra d’identifier des marques d’intérêt permettant de </w:t>
            </w:r>
            <w:r w:rsidR="000C5CDE" w:rsidRPr="000C5CDE">
              <w:rPr>
                <w:b/>
                <w:sz w:val="23"/>
                <w:szCs w:val="23"/>
              </w:rPr>
              <w:t xml:space="preserve">favoriser la réalisation de </w:t>
            </w:r>
            <w:proofErr w:type="spellStart"/>
            <w:r w:rsidR="000C5CDE" w:rsidRPr="000C5CDE">
              <w:rPr>
                <w:b/>
                <w:sz w:val="23"/>
                <w:szCs w:val="23"/>
              </w:rPr>
              <w:t>co</w:t>
            </w:r>
            <w:proofErr w:type="spellEnd"/>
            <w:r w:rsidR="000C5CDE" w:rsidRPr="000C5CDE">
              <w:rPr>
                <w:b/>
                <w:sz w:val="23"/>
                <w:szCs w:val="23"/>
              </w:rPr>
              <w:t>-maturation</w:t>
            </w:r>
            <w:r w:rsidR="002A7F02">
              <w:rPr>
                <w:b/>
                <w:sz w:val="23"/>
                <w:szCs w:val="23"/>
              </w:rPr>
              <w:t>s</w:t>
            </w:r>
            <w:r w:rsidR="000C5CDE">
              <w:rPr>
                <w:sz w:val="23"/>
                <w:szCs w:val="23"/>
              </w:rPr>
              <w:t xml:space="preserve">. </w:t>
            </w:r>
            <w:r w:rsidR="00A70D2B">
              <w:rPr>
                <w:sz w:val="23"/>
                <w:szCs w:val="23"/>
              </w:rPr>
              <w:t xml:space="preserve">Les dossiers retenus </w:t>
            </w:r>
            <w:r w:rsidR="00D009C0">
              <w:rPr>
                <w:sz w:val="23"/>
                <w:szCs w:val="23"/>
              </w:rPr>
              <w:t xml:space="preserve">(en </w:t>
            </w:r>
            <w:proofErr w:type="spellStart"/>
            <w:r w:rsidR="00D009C0">
              <w:rPr>
                <w:sz w:val="23"/>
                <w:szCs w:val="23"/>
              </w:rPr>
              <w:t>co</w:t>
            </w:r>
            <w:proofErr w:type="spellEnd"/>
            <w:r w:rsidR="00D009C0">
              <w:rPr>
                <w:sz w:val="23"/>
                <w:szCs w:val="23"/>
              </w:rPr>
              <w:t xml:space="preserve">-maturation avec un industriel ou pas) </w:t>
            </w:r>
            <w:r w:rsidR="00A70D2B">
              <w:rPr>
                <w:sz w:val="23"/>
                <w:szCs w:val="23"/>
              </w:rPr>
              <w:t>pourront faire l’objet d’une construction de programme plus détaillé en liaison avec les porteurs de projet</w:t>
            </w:r>
            <w:r w:rsidR="000C5CDE">
              <w:rPr>
                <w:sz w:val="23"/>
                <w:szCs w:val="23"/>
              </w:rPr>
              <w:t>, avant d’aboutir à une décision d’investissement par les SATT</w:t>
            </w:r>
            <w:r w:rsidR="00A70D2B">
              <w:rPr>
                <w:sz w:val="23"/>
                <w:szCs w:val="23"/>
              </w:rPr>
              <w:t xml:space="preserve">. Le temps nécessaire pour construire ce programme sera établi par les SATT respectives, en concertation avec les porteurs de projets. </w:t>
            </w:r>
          </w:p>
          <w:p w14:paraId="7DB79C05" w14:textId="77777777" w:rsidR="00D96119" w:rsidRDefault="00D96119" w:rsidP="00FC70FE">
            <w:pPr>
              <w:pStyle w:val="Default"/>
              <w:jc w:val="both"/>
            </w:pPr>
          </w:p>
          <w:p w14:paraId="07E970BE" w14:textId="77777777" w:rsidR="00FC70FE" w:rsidRPr="00C42540" w:rsidRDefault="00FC70FE" w:rsidP="00FC70FE">
            <w:pPr>
              <w:pStyle w:val="Paragraphedeliste"/>
              <w:numPr>
                <w:ilvl w:val="0"/>
                <w:numId w:val="1"/>
              </w:numPr>
              <w:rPr>
                <w:b/>
                <w:color w:val="C00000"/>
                <w:sz w:val="28"/>
              </w:rPr>
            </w:pPr>
            <w:r w:rsidRPr="00C42540">
              <w:rPr>
                <w:b/>
                <w:color w:val="C00000"/>
                <w:sz w:val="28"/>
              </w:rPr>
              <w:t xml:space="preserve">Soumission des projets </w:t>
            </w:r>
          </w:p>
          <w:p w14:paraId="2196E57E" w14:textId="77777777" w:rsidR="00FC70FE" w:rsidRDefault="00FC70FE" w:rsidP="00FC70FE">
            <w:pPr>
              <w:pStyle w:val="Default"/>
              <w:jc w:val="both"/>
              <w:rPr>
                <w:sz w:val="23"/>
                <w:szCs w:val="23"/>
              </w:rPr>
            </w:pPr>
            <w:r>
              <w:rPr>
                <w:sz w:val="23"/>
                <w:szCs w:val="23"/>
              </w:rPr>
              <w:t xml:space="preserve">Dans ce dossier, doivent figurer : </w:t>
            </w:r>
          </w:p>
          <w:p w14:paraId="34EEDCA7" w14:textId="77777777" w:rsidR="00FC70FE" w:rsidRDefault="00FC70FE" w:rsidP="00FC70FE">
            <w:pPr>
              <w:pStyle w:val="Default"/>
              <w:jc w:val="both"/>
              <w:rPr>
                <w:sz w:val="23"/>
                <w:szCs w:val="23"/>
              </w:rPr>
            </w:pPr>
          </w:p>
          <w:p w14:paraId="13648524" w14:textId="772069EB" w:rsidR="00DD2E7E" w:rsidRDefault="00FC70FE" w:rsidP="00E9632F">
            <w:pPr>
              <w:pStyle w:val="Default"/>
              <w:jc w:val="both"/>
            </w:pPr>
            <w:r>
              <w:rPr>
                <w:sz w:val="23"/>
                <w:szCs w:val="23"/>
              </w:rPr>
              <w:t>•</w:t>
            </w:r>
            <w:r w:rsidR="00DD2E7E">
              <w:rPr>
                <w:sz w:val="23"/>
                <w:szCs w:val="23"/>
              </w:rPr>
              <w:t xml:space="preserve"> </w:t>
            </w:r>
            <w:r>
              <w:rPr>
                <w:sz w:val="23"/>
                <w:szCs w:val="23"/>
              </w:rPr>
              <w:t>Le résumé du projet selon le formulaire de candidature à télécharger à l'adresse :</w:t>
            </w:r>
            <w:r w:rsidR="00DD2E7E">
              <w:rPr>
                <w:sz w:val="23"/>
                <w:szCs w:val="23"/>
              </w:rPr>
              <w:t xml:space="preserve"> </w:t>
            </w:r>
            <w:bookmarkStart w:id="1" w:name="_Hlk493592967"/>
            <w:r w:rsidR="00696D89">
              <w:fldChar w:fldCharType="begin"/>
            </w:r>
            <w:r w:rsidR="00274F79">
              <w:instrText>HYPERLINK "http://www.satt.fr/aap-tilt-2019/"</w:instrText>
            </w:r>
            <w:r w:rsidR="00696D89">
              <w:fldChar w:fldCharType="separate"/>
            </w:r>
            <w:r w:rsidR="00274F79">
              <w:rPr>
                <w:rStyle w:val="Lienhypertexte"/>
              </w:rPr>
              <w:t>http://www.satt.fr/aap-tilt-2019/</w:t>
            </w:r>
            <w:r w:rsidR="00696D89">
              <w:rPr>
                <w:rStyle w:val="Lienhypertexte"/>
              </w:rPr>
              <w:fldChar w:fldCharType="end"/>
            </w:r>
            <w:bookmarkEnd w:id="1"/>
          </w:p>
          <w:p w14:paraId="0EE37448" w14:textId="77777777" w:rsidR="00CE245F" w:rsidRDefault="00CE245F" w:rsidP="00FC70FE">
            <w:pPr>
              <w:pStyle w:val="Default"/>
              <w:jc w:val="both"/>
              <w:rPr>
                <w:sz w:val="23"/>
                <w:szCs w:val="23"/>
              </w:rPr>
            </w:pPr>
          </w:p>
          <w:p w14:paraId="46F0A348" w14:textId="5BDEC63C" w:rsidR="00FC70FE" w:rsidRDefault="00FC70FE" w:rsidP="00FC70FE">
            <w:pPr>
              <w:pStyle w:val="Default"/>
              <w:jc w:val="both"/>
              <w:rPr>
                <w:sz w:val="23"/>
                <w:szCs w:val="23"/>
              </w:rPr>
            </w:pPr>
            <w:r>
              <w:rPr>
                <w:sz w:val="23"/>
                <w:szCs w:val="23"/>
              </w:rPr>
              <w:t>•</w:t>
            </w:r>
            <w:r w:rsidR="00DD2E7E">
              <w:rPr>
                <w:sz w:val="23"/>
                <w:szCs w:val="23"/>
              </w:rPr>
              <w:t xml:space="preserve"> </w:t>
            </w:r>
            <w:r>
              <w:rPr>
                <w:sz w:val="23"/>
                <w:szCs w:val="23"/>
              </w:rPr>
              <w:t>Le dossier détaillé du projet selon les modalités indiquées en annexe 1.</w:t>
            </w:r>
          </w:p>
          <w:p w14:paraId="0C67CDBB" w14:textId="054C41EC" w:rsidR="00B9692D" w:rsidRDefault="00B9692D" w:rsidP="00FC70FE">
            <w:pPr>
              <w:pStyle w:val="Default"/>
              <w:jc w:val="both"/>
              <w:rPr>
                <w:sz w:val="23"/>
                <w:szCs w:val="23"/>
              </w:rPr>
            </w:pPr>
          </w:p>
          <w:p w14:paraId="5989BD0B" w14:textId="7704D7BC" w:rsidR="00B9692D" w:rsidRDefault="00B9692D" w:rsidP="00FC70FE">
            <w:pPr>
              <w:pStyle w:val="Default"/>
              <w:jc w:val="both"/>
              <w:rPr>
                <w:sz w:val="23"/>
                <w:szCs w:val="23"/>
              </w:rPr>
            </w:pPr>
            <w:r>
              <w:rPr>
                <w:sz w:val="23"/>
                <w:szCs w:val="23"/>
              </w:rPr>
              <w:t xml:space="preserve">Les dossiers </w:t>
            </w:r>
            <w:r w:rsidR="003857EA">
              <w:rPr>
                <w:sz w:val="23"/>
                <w:szCs w:val="23"/>
              </w:rPr>
              <w:t xml:space="preserve">complets </w:t>
            </w:r>
            <w:r>
              <w:rPr>
                <w:sz w:val="23"/>
                <w:szCs w:val="23"/>
              </w:rPr>
              <w:t xml:space="preserve">sont à retourner </w:t>
            </w:r>
            <w:r w:rsidR="003857EA">
              <w:rPr>
                <w:sz w:val="23"/>
                <w:szCs w:val="23"/>
              </w:rPr>
              <w:t xml:space="preserve">à l’adresse : </w:t>
            </w:r>
            <w:hyperlink r:id="rId23" w:history="1">
              <w:r w:rsidR="00274F79" w:rsidRPr="00944AA7">
                <w:rPr>
                  <w:rStyle w:val="Lienhypertexte"/>
                </w:rPr>
                <w:t>TILT.AAP-2019@satt.fr</w:t>
              </w:r>
            </w:hyperlink>
          </w:p>
          <w:p w14:paraId="18B4D2AE" w14:textId="77777777" w:rsidR="00FC70FE" w:rsidRDefault="00FC70FE" w:rsidP="00FC70FE">
            <w:pPr>
              <w:pStyle w:val="Default"/>
              <w:jc w:val="both"/>
              <w:rPr>
                <w:sz w:val="23"/>
                <w:szCs w:val="23"/>
              </w:rPr>
            </w:pPr>
          </w:p>
          <w:p w14:paraId="6C0328A9" w14:textId="55013E20" w:rsidR="00FC70FE" w:rsidRDefault="00FC70FE" w:rsidP="00FC70FE">
            <w:pPr>
              <w:pStyle w:val="Default"/>
              <w:jc w:val="both"/>
              <w:rPr>
                <w:sz w:val="23"/>
                <w:szCs w:val="23"/>
              </w:rPr>
            </w:pPr>
            <w:r>
              <w:rPr>
                <w:sz w:val="23"/>
                <w:szCs w:val="23"/>
              </w:rPr>
              <w:t xml:space="preserve">Seuls les dossiers respectant les critères de candidature seront </w:t>
            </w:r>
            <w:r w:rsidR="00D009C0">
              <w:rPr>
                <w:sz w:val="23"/>
                <w:szCs w:val="23"/>
              </w:rPr>
              <w:t xml:space="preserve">éligibles </w:t>
            </w:r>
            <w:r>
              <w:rPr>
                <w:sz w:val="23"/>
                <w:szCs w:val="23"/>
              </w:rPr>
              <w:t xml:space="preserve">et examinés dans l’étape suivante de l’appel à projets. </w:t>
            </w:r>
          </w:p>
          <w:p w14:paraId="503BD839" w14:textId="77777777" w:rsidR="00FC70FE" w:rsidRDefault="00FC70FE" w:rsidP="00FC70FE">
            <w:pPr>
              <w:pStyle w:val="Default"/>
              <w:jc w:val="both"/>
              <w:rPr>
                <w:sz w:val="23"/>
                <w:szCs w:val="23"/>
              </w:rPr>
            </w:pPr>
          </w:p>
          <w:p w14:paraId="22E2F43A" w14:textId="77777777" w:rsidR="00032ED6" w:rsidRPr="002D4BB8" w:rsidRDefault="00FC70FE" w:rsidP="002D4BB8">
            <w:pPr>
              <w:jc w:val="both"/>
              <w:rPr>
                <w:b/>
                <w:color w:val="2E74B5" w:themeColor="accent1" w:themeShade="BF"/>
                <w:sz w:val="28"/>
              </w:rPr>
            </w:pPr>
            <w:r>
              <w:rPr>
                <w:sz w:val="23"/>
                <w:szCs w:val="23"/>
              </w:rPr>
              <w:t xml:space="preserve">Un email de validation de la candidature sera envoyé </w:t>
            </w:r>
            <w:r w:rsidRPr="00940837">
              <w:rPr>
                <w:sz w:val="23"/>
                <w:szCs w:val="23"/>
              </w:rPr>
              <w:t>dans les soixante-douze (72) heures</w:t>
            </w:r>
            <w:r>
              <w:rPr>
                <w:sz w:val="23"/>
                <w:szCs w:val="23"/>
              </w:rPr>
              <w:t xml:space="preserve"> après la soumission du projet. </w:t>
            </w:r>
          </w:p>
        </w:tc>
      </w:tr>
      <w:tr w:rsidR="00EB3AEE" w14:paraId="2A7FEA7C" w14:textId="77777777" w:rsidTr="00160E16">
        <w:trPr>
          <w:trHeight w:val="851"/>
        </w:trPr>
        <w:tc>
          <w:tcPr>
            <w:tcW w:w="9180" w:type="dxa"/>
          </w:tcPr>
          <w:p w14:paraId="1E25C83F" w14:textId="77777777" w:rsidR="00EB3AEE" w:rsidRDefault="00EB3AEE" w:rsidP="00EB3AEE">
            <w:pPr>
              <w:jc w:val="both"/>
              <w:rPr>
                <w:sz w:val="23"/>
                <w:szCs w:val="23"/>
              </w:rPr>
            </w:pPr>
          </w:p>
        </w:tc>
      </w:tr>
    </w:tbl>
    <w:p w14:paraId="0301F2F2" w14:textId="77777777" w:rsidR="00610EE4" w:rsidRDefault="00610EE4">
      <w:pPr>
        <w:rPr>
          <w:rFonts w:ascii="Calibri" w:hAnsi="Calibri" w:cs="Calibri"/>
          <w:b/>
          <w:bCs/>
          <w:color w:val="000000"/>
          <w:sz w:val="32"/>
          <w:szCs w:val="32"/>
        </w:rPr>
      </w:pPr>
      <w:r>
        <w:rPr>
          <w:b/>
          <w:bCs/>
          <w:sz w:val="32"/>
          <w:szCs w:val="32"/>
        </w:rPr>
        <w:br w:type="page"/>
      </w:r>
    </w:p>
    <w:p w14:paraId="0C008446" w14:textId="5C30C92C" w:rsidR="005A3616" w:rsidRDefault="005A3616" w:rsidP="006F3974">
      <w:pPr>
        <w:pStyle w:val="Default"/>
        <w:jc w:val="center"/>
        <w:rPr>
          <w:sz w:val="32"/>
          <w:szCs w:val="32"/>
        </w:rPr>
      </w:pPr>
      <w:r>
        <w:rPr>
          <w:b/>
          <w:bCs/>
          <w:sz w:val="32"/>
          <w:szCs w:val="32"/>
        </w:rPr>
        <w:lastRenderedPageBreak/>
        <w:t>Périmètre des SATT</w:t>
      </w:r>
    </w:p>
    <w:p w14:paraId="0ADF17F2" w14:textId="77777777" w:rsidR="005A3616" w:rsidRDefault="005A3616" w:rsidP="005A3616">
      <w:pPr>
        <w:pStyle w:val="Default"/>
        <w:rPr>
          <w:sz w:val="23"/>
          <w:szCs w:val="23"/>
        </w:rPr>
      </w:pPr>
    </w:p>
    <w:p w14:paraId="2BA66054" w14:textId="77777777" w:rsidR="00742A56" w:rsidRPr="00C42540" w:rsidRDefault="00742A56" w:rsidP="00742A56">
      <w:pPr>
        <w:pStyle w:val="Paragraphedeliste"/>
        <w:numPr>
          <w:ilvl w:val="0"/>
          <w:numId w:val="6"/>
        </w:numPr>
        <w:rPr>
          <w:rFonts w:cstheme="minorHAnsi"/>
          <w:b/>
          <w:color w:val="C00000"/>
          <w:sz w:val="28"/>
          <w:szCs w:val="23"/>
        </w:rPr>
      </w:pPr>
      <w:r w:rsidRPr="00C42540">
        <w:rPr>
          <w:rFonts w:cstheme="minorHAnsi"/>
          <w:b/>
          <w:color w:val="C00000"/>
          <w:sz w:val="28"/>
          <w:szCs w:val="23"/>
        </w:rPr>
        <w:t>SATT Aquitaine Science Transfert</w:t>
      </w:r>
    </w:p>
    <w:p w14:paraId="28CA3FF2" w14:textId="77777777" w:rsidR="00742A56" w:rsidRPr="00742A56" w:rsidRDefault="00702BF7" w:rsidP="00742A56">
      <w:pPr>
        <w:jc w:val="both"/>
        <w:rPr>
          <w:rFonts w:cstheme="minorHAnsi"/>
          <w:sz w:val="23"/>
          <w:szCs w:val="23"/>
        </w:rPr>
      </w:pPr>
      <w:r w:rsidRPr="00702BF7">
        <w:rPr>
          <w:rFonts w:cstheme="minorHAnsi"/>
          <w:sz w:val="23"/>
          <w:szCs w:val="23"/>
        </w:rPr>
        <w:t>Université de Bordeaux, Université Bordeaux Montaigne, Université de Pau et des Pays de l’Adour, Sciences Po Bordeaux, Bordeaux INP, Bordeaux Sciences Agro, ESTIA, CHU de Bordeaux, Institut Bergonié, CNRS, et Inserm.</w:t>
      </w:r>
    </w:p>
    <w:p w14:paraId="7204010D" w14:textId="77777777" w:rsidR="00742A56" w:rsidRPr="00C42540" w:rsidRDefault="00742A56" w:rsidP="00742A56">
      <w:pPr>
        <w:pStyle w:val="Paragraphedeliste"/>
        <w:numPr>
          <w:ilvl w:val="0"/>
          <w:numId w:val="6"/>
        </w:numPr>
        <w:rPr>
          <w:rFonts w:cstheme="minorHAnsi"/>
          <w:b/>
          <w:color w:val="C00000"/>
          <w:sz w:val="28"/>
          <w:szCs w:val="23"/>
        </w:rPr>
      </w:pPr>
      <w:r w:rsidRPr="00C42540">
        <w:rPr>
          <w:rFonts w:cstheme="minorHAnsi"/>
          <w:b/>
          <w:color w:val="C00000"/>
          <w:sz w:val="28"/>
          <w:szCs w:val="23"/>
        </w:rPr>
        <w:t>SATT AXLR</w:t>
      </w:r>
    </w:p>
    <w:p w14:paraId="1EA93D45" w14:textId="77777777" w:rsidR="00742A56" w:rsidRPr="00742A56" w:rsidRDefault="00E47A9B" w:rsidP="00742A56">
      <w:pPr>
        <w:jc w:val="both"/>
        <w:rPr>
          <w:rFonts w:cstheme="minorHAnsi"/>
          <w:sz w:val="23"/>
          <w:szCs w:val="23"/>
        </w:rPr>
      </w:pPr>
      <w:r>
        <w:rPr>
          <w:rFonts w:cstheme="minorHAnsi"/>
          <w:sz w:val="23"/>
          <w:szCs w:val="23"/>
        </w:rPr>
        <w:t xml:space="preserve">Université de Montpellier (UM), Université Paul Valéry Montpellier (UPVM), Université de </w:t>
      </w:r>
      <w:proofErr w:type="spellStart"/>
      <w:r>
        <w:rPr>
          <w:rFonts w:cstheme="minorHAnsi"/>
          <w:sz w:val="23"/>
          <w:szCs w:val="23"/>
        </w:rPr>
        <w:t>Nimes</w:t>
      </w:r>
      <w:proofErr w:type="spellEnd"/>
      <w:r>
        <w:rPr>
          <w:rFonts w:cstheme="minorHAnsi"/>
          <w:sz w:val="23"/>
          <w:szCs w:val="23"/>
        </w:rPr>
        <w:t xml:space="preserve">, Université de Perpignan Via </w:t>
      </w:r>
      <w:proofErr w:type="spellStart"/>
      <w:r>
        <w:rPr>
          <w:rFonts w:cstheme="minorHAnsi"/>
          <w:sz w:val="23"/>
          <w:szCs w:val="23"/>
        </w:rPr>
        <w:t>Domitia</w:t>
      </w:r>
      <w:proofErr w:type="spellEnd"/>
      <w:r>
        <w:rPr>
          <w:rFonts w:cstheme="minorHAnsi"/>
          <w:sz w:val="23"/>
          <w:szCs w:val="23"/>
        </w:rPr>
        <w:t xml:space="preserve"> (UPVD), Institut de Recherche pour le Développement (IRD), CNRS, INSERM, </w:t>
      </w:r>
      <w:r w:rsidR="001B0158">
        <w:rPr>
          <w:rFonts w:cstheme="minorHAnsi"/>
          <w:sz w:val="23"/>
          <w:szCs w:val="23"/>
        </w:rPr>
        <w:t xml:space="preserve">Montpellier </w:t>
      </w:r>
      <w:proofErr w:type="spellStart"/>
      <w:r>
        <w:rPr>
          <w:rFonts w:cstheme="minorHAnsi"/>
          <w:sz w:val="23"/>
          <w:szCs w:val="23"/>
        </w:rPr>
        <w:t>SupAgro</w:t>
      </w:r>
      <w:proofErr w:type="spellEnd"/>
      <w:r>
        <w:rPr>
          <w:rFonts w:cstheme="minorHAnsi"/>
          <w:sz w:val="23"/>
          <w:szCs w:val="23"/>
        </w:rPr>
        <w:t xml:space="preserve">, École Nationale Supérieure de Chimie de Montpellier (ENSCM), </w:t>
      </w:r>
      <w:r w:rsidRPr="00540F2D">
        <w:rPr>
          <w:rFonts w:cstheme="minorHAnsi"/>
          <w:sz w:val="23"/>
          <w:szCs w:val="23"/>
        </w:rPr>
        <w:t>Institut de Recherche pour le Développement (IRD), Institut National de la Recherche Agronomique (INRA), Institut national de Recherche en Sciences et Technologies pour l'Environnement et l'Agriculture (IRSTEA),</w:t>
      </w:r>
      <w:r>
        <w:rPr>
          <w:rFonts w:cstheme="minorHAnsi"/>
          <w:sz w:val="23"/>
          <w:szCs w:val="23"/>
        </w:rPr>
        <w:t xml:space="preserve"> CIRAD (Centre de coopération Internationale en Recherche Agronomique pour le D</w:t>
      </w:r>
      <w:r w:rsidRPr="00E47A9B">
        <w:rPr>
          <w:rFonts w:cstheme="minorHAnsi"/>
          <w:sz w:val="23"/>
          <w:szCs w:val="23"/>
        </w:rPr>
        <w:t>éveloppement)</w:t>
      </w:r>
      <w:r>
        <w:rPr>
          <w:rFonts w:cstheme="minorHAnsi"/>
          <w:sz w:val="23"/>
          <w:szCs w:val="23"/>
        </w:rPr>
        <w:t xml:space="preserve">, CHU Montpellier, </w:t>
      </w:r>
    </w:p>
    <w:p w14:paraId="5DA0491F" w14:textId="77777777" w:rsidR="00742A56" w:rsidRPr="00C42540" w:rsidRDefault="008866E9" w:rsidP="00742A56">
      <w:pPr>
        <w:pStyle w:val="Paragraphedeliste"/>
        <w:numPr>
          <w:ilvl w:val="0"/>
          <w:numId w:val="6"/>
        </w:numPr>
        <w:rPr>
          <w:rFonts w:cstheme="minorHAnsi"/>
          <w:b/>
          <w:color w:val="C00000"/>
          <w:sz w:val="28"/>
          <w:szCs w:val="23"/>
        </w:rPr>
      </w:pPr>
      <w:r w:rsidRPr="00C42540">
        <w:rPr>
          <w:rFonts w:cstheme="minorHAnsi"/>
          <w:b/>
          <w:color w:val="C00000"/>
          <w:sz w:val="28"/>
          <w:szCs w:val="23"/>
        </w:rPr>
        <w:t xml:space="preserve">SATT </w:t>
      </w:r>
      <w:proofErr w:type="spellStart"/>
      <w:r w:rsidRPr="00C42540">
        <w:rPr>
          <w:rFonts w:cstheme="minorHAnsi"/>
          <w:b/>
          <w:color w:val="C00000"/>
          <w:sz w:val="28"/>
          <w:szCs w:val="23"/>
        </w:rPr>
        <w:t>Con</w:t>
      </w:r>
      <w:r w:rsidR="00742A56" w:rsidRPr="00C42540">
        <w:rPr>
          <w:rFonts w:cstheme="minorHAnsi"/>
          <w:b/>
          <w:color w:val="C00000"/>
          <w:sz w:val="28"/>
          <w:szCs w:val="23"/>
        </w:rPr>
        <w:t>ectus</w:t>
      </w:r>
      <w:proofErr w:type="spellEnd"/>
    </w:p>
    <w:p w14:paraId="692207EB" w14:textId="77777777" w:rsidR="00742A56" w:rsidRPr="00742A56" w:rsidRDefault="00422445" w:rsidP="00742A56">
      <w:pPr>
        <w:jc w:val="both"/>
        <w:rPr>
          <w:rFonts w:cstheme="minorHAnsi"/>
          <w:sz w:val="23"/>
          <w:szCs w:val="23"/>
        </w:rPr>
      </w:pPr>
      <w:r w:rsidRPr="00422445">
        <w:rPr>
          <w:rFonts w:cstheme="minorHAnsi"/>
          <w:sz w:val="23"/>
          <w:szCs w:val="23"/>
        </w:rPr>
        <w:t>Université de Strasbourg, CNRS Alsace, Université de Haute Alsace, INSERM Alsace, INSA, ENGEES</w:t>
      </w:r>
    </w:p>
    <w:p w14:paraId="5996C485" w14:textId="09328F72" w:rsidR="00742A56" w:rsidRPr="00C42540" w:rsidRDefault="00C42540" w:rsidP="00742A56">
      <w:pPr>
        <w:pStyle w:val="Paragraphedeliste"/>
        <w:numPr>
          <w:ilvl w:val="0"/>
          <w:numId w:val="6"/>
        </w:numPr>
        <w:rPr>
          <w:rFonts w:cstheme="minorHAnsi"/>
          <w:b/>
          <w:color w:val="C00000"/>
          <w:sz w:val="28"/>
          <w:szCs w:val="23"/>
        </w:rPr>
      </w:pPr>
      <w:r>
        <w:rPr>
          <w:rFonts w:cstheme="minorHAnsi"/>
          <w:b/>
          <w:color w:val="C00000"/>
          <w:sz w:val="28"/>
          <w:szCs w:val="23"/>
        </w:rPr>
        <w:t xml:space="preserve">SATT </w:t>
      </w:r>
      <w:proofErr w:type="spellStart"/>
      <w:r w:rsidR="002622FB">
        <w:rPr>
          <w:rFonts w:cstheme="minorHAnsi"/>
          <w:b/>
          <w:color w:val="C00000"/>
          <w:sz w:val="28"/>
          <w:szCs w:val="23"/>
        </w:rPr>
        <w:t>Sayens</w:t>
      </w:r>
      <w:proofErr w:type="spellEnd"/>
    </w:p>
    <w:p w14:paraId="07FE0FB7" w14:textId="1CA6B0B8" w:rsidR="00742A56" w:rsidRPr="00742A56" w:rsidRDefault="002D5AAD" w:rsidP="00742A56">
      <w:pPr>
        <w:jc w:val="both"/>
        <w:rPr>
          <w:rFonts w:cstheme="minorHAnsi"/>
          <w:sz w:val="23"/>
          <w:szCs w:val="23"/>
        </w:rPr>
      </w:pPr>
      <w:r w:rsidRPr="002D5AAD">
        <w:rPr>
          <w:rFonts w:cstheme="minorHAnsi"/>
          <w:sz w:val="23"/>
          <w:szCs w:val="23"/>
        </w:rPr>
        <w:t xml:space="preserve">Universités de Bourgogne, de Franche Comté, de Lorraine, les universités technologiques de Belfort-Montbéliard, de Troyes ; les écoles : </w:t>
      </w:r>
      <w:proofErr w:type="spellStart"/>
      <w:r w:rsidRPr="002D5AAD">
        <w:rPr>
          <w:rFonts w:cstheme="minorHAnsi"/>
          <w:sz w:val="23"/>
          <w:szCs w:val="23"/>
        </w:rPr>
        <w:t>Agrosup</w:t>
      </w:r>
      <w:proofErr w:type="spellEnd"/>
      <w:r w:rsidRPr="002D5AAD">
        <w:rPr>
          <w:rFonts w:cstheme="minorHAnsi"/>
          <w:sz w:val="23"/>
          <w:szCs w:val="23"/>
        </w:rPr>
        <w:t xml:space="preserve"> Dijon, et l’école nationale supérieure de mécanique et microtechniques ; CNRS et INSERM</w:t>
      </w:r>
    </w:p>
    <w:p w14:paraId="38AD9A73" w14:textId="77777777" w:rsidR="00BB3AFE" w:rsidRPr="00C42540" w:rsidRDefault="00BB3AFE" w:rsidP="00742A56">
      <w:pPr>
        <w:pStyle w:val="Paragraphedeliste"/>
        <w:numPr>
          <w:ilvl w:val="0"/>
          <w:numId w:val="6"/>
        </w:numPr>
        <w:rPr>
          <w:rFonts w:cstheme="minorHAnsi"/>
          <w:b/>
          <w:color w:val="C00000"/>
          <w:sz w:val="28"/>
          <w:szCs w:val="23"/>
        </w:rPr>
      </w:pPr>
      <w:r w:rsidRPr="00C42540">
        <w:rPr>
          <w:rFonts w:cstheme="minorHAnsi"/>
          <w:b/>
          <w:color w:val="C00000"/>
          <w:sz w:val="28"/>
          <w:szCs w:val="23"/>
        </w:rPr>
        <w:t>SATT IDF Innov</w:t>
      </w:r>
    </w:p>
    <w:p w14:paraId="2859A0A0" w14:textId="77777777" w:rsidR="00C42540" w:rsidRDefault="00143DCC" w:rsidP="00160E16">
      <w:pPr>
        <w:jc w:val="both"/>
        <w:rPr>
          <w:rFonts w:cstheme="minorHAnsi"/>
          <w:sz w:val="23"/>
          <w:szCs w:val="23"/>
        </w:rPr>
      </w:pPr>
      <w:r w:rsidRPr="001B0123">
        <w:rPr>
          <w:rFonts w:cstheme="minorHAnsi"/>
          <w:sz w:val="23"/>
          <w:szCs w:val="23"/>
        </w:rPr>
        <w:t>Université Sorbonne Paris Cité (Université Sorbonne Nouvelle, Université Paris Descartes, Université Paris Diderot, Université Paris 13 Nord, INALCO, Sciences Po, Institut de Physique du Globe de Paris, Ecole des Hautes Etudes en Santé Publique, Fondation Maison des Sciences de l’Homme), Université Paris Est (IFSTTAR, Ecole des Ponts ParisTech, Ecole nationale vétérinaire d’Alfort, Université Paris-Est Créteil Val de Marne, ESIEE Paris, Université Paris-Est Marne-la-Vallée), CNRS, INSERM, Université Paris Seine ( Université de Cergy Pontoise, ESSEC, EISTI, ENSAE, EBI, ECAM-EPMI…)</w:t>
      </w:r>
    </w:p>
    <w:p w14:paraId="7CE82D4D" w14:textId="75AD1BE5" w:rsidR="005A3616" w:rsidRPr="00C42540" w:rsidRDefault="005A3616" w:rsidP="00C42540">
      <w:pPr>
        <w:pStyle w:val="Paragraphedeliste"/>
        <w:numPr>
          <w:ilvl w:val="0"/>
          <w:numId w:val="9"/>
        </w:numPr>
        <w:rPr>
          <w:rFonts w:cstheme="minorHAnsi"/>
          <w:b/>
          <w:color w:val="C00000"/>
          <w:sz w:val="28"/>
          <w:szCs w:val="23"/>
        </w:rPr>
      </w:pPr>
      <w:r w:rsidRPr="00C42540">
        <w:rPr>
          <w:rFonts w:cstheme="minorHAnsi"/>
          <w:b/>
          <w:color w:val="C00000"/>
          <w:sz w:val="28"/>
          <w:szCs w:val="23"/>
        </w:rPr>
        <w:t xml:space="preserve">SATT </w:t>
      </w:r>
      <w:proofErr w:type="spellStart"/>
      <w:r w:rsidRPr="00C42540">
        <w:rPr>
          <w:rFonts w:cstheme="minorHAnsi"/>
          <w:b/>
          <w:color w:val="C00000"/>
          <w:sz w:val="28"/>
          <w:szCs w:val="23"/>
        </w:rPr>
        <w:t>L</w:t>
      </w:r>
      <w:r w:rsidR="00C42540">
        <w:rPr>
          <w:rFonts w:cstheme="minorHAnsi"/>
          <w:b/>
          <w:color w:val="C00000"/>
          <w:sz w:val="28"/>
          <w:szCs w:val="23"/>
        </w:rPr>
        <w:t>utech</w:t>
      </w:r>
      <w:proofErr w:type="spellEnd"/>
    </w:p>
    <w:p w14:paraId="721ED6BC" w14:textId="3C0D728C" w:rsidR="005A3616" w:rsidRDefault="005A3616" w:rsidP="00693EDB">
      <w:pPr>
        <w:pStyle w:val="Default"/>
        <w:jc w:val="both"/>
        <w:rPr>
          <w:sz w:val="23"/>
          <w:szCs w:val="23"/>
        </w:rPr>
      </w:pPr>
      <w:r>
        <w:rPr>
          <w:sz w:val="23"/>
          <w:szCs w:val="23"/>
        </w:rPr>
        <w:t xml:space="preserve">Université Pierre et Marie Curie, CNRS, Université de Technologie de Compiègne, Muséum National d’Histoire Naturelle, Institut Curie, Université Panthéon-Assas, Université Paris-Sorbonne, Ecole Nationale Supérieur de Création Industrielle </w:t>
      </w:r>
    </w:p>
    <w:p w14:paraId="2420DC91" w14:textId="77777777" w:rsidR="005A3616" w:rsidRDefault="005A3616" w:rsidP="005A3616">
      <w:pPr>
        <w:pStyle w:val="Default"/>
        <w:rPr>
          <w:sz w:val="23"/>
          <w:szCs w:val="23"/>
        </w:rPr>
      </w:pPr>
    </w:p>
    <w:p w14:paraId="1BBA5A4E" w14:textId="77777777" w:rsidR="00BB3AFE" w:rsidRPr="00C42540" w:rsidRDefault="00BB3AFE" w:rsidP="00BB3AFE">
      <w:pPr>
        <w:pStyle w:val="Paragraphedeliste"/>
        <w:numPr>
          <w:ilvl w:val="0"/>
          <w:numId w:val="6"/>
        </w:numPr>
        <w:rPr>
          <w:rFonts w:cstheme="minorHAnsi"/>
          <w:b/>
          <w:color w:val="C00000"/>
          <w:sz w:val="28"/>
          <w:szCs w:val="23"/>
        </w:rPr>
      </w:pPr>
      <w:r w:rsidRPr="00C42540">
        <w:rPr>
          <w:rFonts w:cstheme="minorHAnsi"/>
          <w:b/>
          <w:color w:val="C00000"/>
          <w:sz w:val="28"/>
          <w:szCs w:val="23"/>
        </w:rPr>
        <w:t>SATT Nord</w:t>
      </w:r>
    </w:p>
    <w:p w14:paraId="57271B94" w14:textId="77777777" w:rsidR="00BB3AFE" w:rsidRDefault="002A7F02" w:rsidP="00BB3AFE">
      <w:pPr>
        <w:jc w:val="both"/>
        <w:rPr>
          <w:rFonts w:cstheme="minorHAnsi"/>
          <w:sz w:val="23"/>
          <w:szCs w:val="23"/>
        </w:rPr>
      </w:pPr>
      <w:r>
        <w:rPr>
          <w:rFonts w:cstheme="minorHAnsi"/>
          <w:sz w:val="23"/>
          <w:szCs w:val="23"/>
        </w:rPr>
        <w:t>COMUE Lille Nord de France (</w:t>
      </w:r>
      <w:r w:rsidR="00BB3AFE">
        <w:rPr>
          <w:rFonts w:cstheme="minorHAnsi"/>
          <w:sz w:val="23"/>
          <w:szCs w:val="23"/>
        </w:rPr>
        <w:t xml:space="preserve">Université de Lille, </w:t>
      </w:r>
      <w:r w:rsidR="009201C7">
        <w:rPr>
          <w:rFonts w:cstheme="minorHAnsi"/>
          <w:sz w:val="23"/>
          <w:szCs w:val="23"/>
        </w:rPr>
        <w:t>U</w:t>
      </w:r>
      <w:r w:rsidR="00BB3AFE">
        <w:rPr>
          <w:rFonts w:cstheme="minorHAnsi"/>
          <w:sz w:val="23"/>
          <w:szCs w:val="23"/>
        </w:rPr>
        <w:t xml:space="preserve">niversité d’Artois, Université du Littoral Côte d’Opale, Université de Valenciennes et du Hainaut Cambrésis, </w:t>
      </w:r>
      <w:r w:rsidR="009201C7">
        <w:rPr>
          <w:rFonts w:cstheme="minorHAnsi"/>
          <w:sz w:val="23"/>
          <w:szCs w:val="23"/>
        </w:rPr>
        <w:t xml:space="preserve">Université Catholique de Lille, </w:t>
      </w:r>
      <w:r>
        <w:rPr>
          <w:rFonts w:cstheme="minorHAnsi"/>
          <w:sz w:val="23"/>
          <w:szCs w:val="23"/>
        </w:rPr>
        <w:t>IMT Lille-Douai</w:t>
      </w:r>
      <w:r w:rsidR="009201C7">
        <w:rPr>
          <w:rFonts w:cstheme="minorHAnsi"/>
          <w:sz w:val="23"/>
          <w:szCs w:val="23"/>
        </w:rPr>
        <w:t xml:space="preserve">, Ecole Centrale de Lille, </w:t>
      </w:r>
      <w:r>
        <w:rPr>
          <w:rFonts w:cstheme="minorHAnsi"/>
          <w:sz w:val="23"/>
          <w:szCs w:val="23"/>
        </w:rPr>
        <w:t xml:space="preserve">CNRS, INRIA), </w:t>
      </w:r>
      <w:r w:rsidR="00BB3AFE">
        <w:rPr>
          <w:rFonts w:cstheme="minorHAnsi"/>
          <w:sz w:val="23"/>
          <w:szCs w:val="23"/>
        </w:rPr>
        <w:t xml:space="preserve">Université de Reims Champagne-Ardenne, </w:t>
      </w:r>
      <w:r w:rsidR="00BB3AFE">
        <w:rPr>
          <w:rFonts w:cstheme="minorHAnsi"/>
          <w:sz w:val="23"/>
          <w:szCs w:val="23"/>
        </w:rPr>
        <w:lastRenderedPageBreak/>
        <w:t xml:space="preserve">Université de Picardie Jules Verne, </w:t>
      </w:r>
      <w:proofErr w:type="spellStart"/>
      <w:r w:rsidR="00BB3AFE">
        <w:rPr>
          <w:rFonts w:cstheme="minorHAnsi"/>
          <w:sz w:val="23"/>
          <w:szCs w:val="23"/>
        </w:rPr>
        <w:t>Yncréa</w:t>
      </w:r>
      <w:proofErr w:type="spellEnd"/>
      <w:r w:rsidR="00BB3AFE">
        <w:rPr>
          <w:rFonts w:cstheme="minorHAnsi"/>
          <w:sz w:val="23"/>
          <w:szCs w:val="23"/>
        </w:rPr>
        <w:t xml:space="preserve"> Hauts-de-France, École Nationale Supérieure de Chimie</w:t>
      </w:r>
      <w:r w:rsidR="00EB3AEE">
        <w:rPr>
          <w:rFonts w:cstheme="minorHAnsi"/>
          <w:sz w:val="23"/>
          <w:szCs w:val="23"/>
        </w:rPr>
        <w:t xml:space="preserve"> de Lille, CHU Amiens Picardie.</w:t>
      </w:r>
    </w:p>
    <w:p w14:paraId="1259F448" w14:textId="77777777" w:rsidR="00742A56" w:rsidRPr="00C42540" w:rsidRDefault="00742A56" w:rsidP="00742A56">
      <w:pPr>
        <w:pStyle w:val="Paragraphedeliste"/>
        <w:numPr>
          <w:ilvl w:val="0"/>
          <w:numId w:val="6"/>
        </w:numPr>
        <w:rPr>
          <w:rFonts w:cstheme="minorHAnsi"/>
          <w:b/>
          <w:color w:val="C00000"/>
          <w:sz w:val="28"/>
          <w:szCs w:val="23"/>
        </w:rPr>
      </w:pPr>
      <w:r w:rsidRPr="00C42540">
        <w:rPr>
          <w:rFonts w:cstheme="minorHAnsi"/>
          <w:b/>
          <w:color w:val="C00000"/>
          <w:sz w:val="28"/>
          <w:szCs w:val="23"/>
        </w:rPr>
        <w:t>SATT Ouest Valorisation</w:t>
      </w:r>
    </w:p>
    <w:p w14:paraId="1FFD16C5" w14:textId="77777777" w:rsidR="00742A56" w:rsidRPr="00742A56" w:rsidRDefault="00540F2D" w:rsidP="00742A56">
      <w:pPr>
        <w:jc w:val="both"/>
        <w:rPr>
          <w:rFonts w:cstheme="minorHAnsi"/>
          <w:sz w:val="23"/>
          <w:szCs w:val="23"/>
        </w:rPr>
      </w:pPr>
      <w:proofErr w:type="spellStart"/>
      <w:r w:rsidRPr="00540F2D">
        <w:rPr>
          <w:rFonts w:cstheme="minorHAnsi"/>
          <w:sz w:val="23"/>
          <w:szCs w:val="23"/>
        </w:rPr>
        <w:t>Agrocampus</w:t>
      </w:r>
      <w:proofErr w:type="spellEnd"/>
      <w:r w:rsidRPr="00540F2D">
        <w:rPr>
          <w:rFonts w:cstheme="minorHAnsi"/>
          <w:sz w:val="23"/>
          <w:szCs w:val="23"/>
        </w:rPr>
        <w:t>, Centre Eugène Marquis, Centre National de la Recherche Scientifique (CNRS), CHU d'Angers, CHU de Brest, CHU de Nantes, CHU de Rennes, École Centrale de Nantes (ECN), École Nationale d'Ingénieurs de Brest (ENIB), École Nationale Supérieure de Chimie de Rennes (ENSCR), École Navale de Brest (ENB), École Normale Supérieure de Rennes (ENS), École Supérieure d'Agriculture d'Angers (ESA), École Supérieure d'Electronique de l'Ouest (ESEO), Institut de Cancérologie de l'Ouest (ICO), Institut de Recherche pour le Développement (IRD), Institut National de la Recherche Agronomique (INRA), Institut national de Recherche en Sciences et Technologies pour l'Environnement et l'Agriculture (IRSTEA), Institut National des Sciences Appliquées de Rennes (INSA), ONIRIS, Université Bretagne Sud, Université d'Angers, Université de Bretagne Occidentale, Université de Nantes, Le Mans Université, Université de Rennes 1, Université de Rennes 2</w:t>
      </w:r>
    </w:p>
    <w:p w14:paraId="4B5F4846" w14:textId="77777777" w:rsidR="005A3616" w:rsidRPr="00C42540" w:rsidRDefault="005A3616" w:rsidP="00742A56">
      <w:pPr>
        <w:pStyle w:val="Paragraphedeliste"/>
        <w:numPr>
          <w:ilvl w:val="0"/>
          <w:numId w:val="6"/>
        </w:numPr>
        <w:rPr>
          <w:rFonts w:cstheme="minorHAnsi"/>
          <w:b/>
          <w:color w:val="C00000"/>
          <w:sz w:val="28"/>
          <w:szCs w:val="23"/>
        </w:rPr>
      </w:pPr>
      <w:r w:rsidRPr="00C42540">
        <w:rPr>
          <w:rFonts w:cstheme="minorHAnsi"/>
          <w:b/>
          <w:color w:val="C00000"/>
          <w:sz w:val="28"/>
          <w:szCs w:val="23"/>
        </w:rPr>
        <w:t>SATT Paris-Saclay</w:t>
      </w:r>
    </w:p>
    <w:p w14:paraId="216494ED" w14:textId="77777777" w:rsidR="006203C7" w:rsidRDefault="005A3616" w:rsidP="00693EDB">
      <w:pPr>
        <w:jc w:val="both"/>
        <w:rPr>
          <w:sz w:val="23"/>
          <w:szCs w:val="23"/>
        </w:rPr>
      </w:pPr>
      <w:r>
        <w:rPr>
          <w:sz w:val="23"/>
          <w:szCs w:val="23"/>
        </w:rPr>
        <w:t>Université Paris-Saclay (AgroParisTech, CEA, CentraleSupélec,</w:t>
      </w:r>
      <w:r w:rsidR="008C38A4">
        <w:rPr>
          <w:sz w:val="23"/>
          <w:szCs w:val="23"/>
        </w:rPr>
        <w:t xml:space="preserve"> </w:t>
      </w:r>
      <w:r w:rsidR="008C38A4" w:rsidRPr="008C38A4">
        <w:rPr>
          <w:rFonts w:eastAsia="Times New Roman"/>
          <w:sz w:val="23"/>
          <w:szCs w:val="23"/>
        </w:rPr>
        <w:t>Université d'Évry</w:t>
      </w:r>
      <w:r w:rsidR="00E53FFD">
        <w:rPr>
          <w:rFonts w:eastAsia="Times New Roman"/>
        </w:rPr>
        <w:t xml:space="preserve">, </w:t>
      </w:r>
      <w:r>
        <w:rPr>
          <w:sz w:val="23"/>
          <w:szCs w:val="23"/>
        </w:rPr>
        <w:t xml:space="preserve">CNRS, ENS </w:t>
      </w:r>
      <w:r w:rsidR="00780EE1">
        <w:rPr>
          <w:sz w:val="23"/>
          <w:szCs w:val="23"/>
        </w:rPr>
        <w:t>Paris-Saclay</w:t>
      </w:r>
      <w:r>
        <w:rPr>
          <w:sz w:val="23"/>
          <w:szCs w:val="23"/>
        </w:rPr>
        <w:t>, Ecole Polytechnique, ENSTA ParisTech, HEC Paris, IHES, INRA, INRIA, ENSAE ParisTech, INSERM, Institut d’Optique, Institut Mines-Télécom, ONERA, Université Paris</w:t>
      </w:r>
      <w:r w:rsidR="00E53FFD">
        <w:rPr>
          <w:sz w:val="23"/>
          <w:szCs w:val="23"/>
        </w:rPr>
        <w:t>-</w:t>
      </w:r>
      <w:r>
        <w:rPr>
          <w:sz w:val="23"/>
          <w:szCs w:val="23"/>
        </w:rPr>
        <w:t>Sud, Université de Versailles Saint-Quentin-en-Yvelines)</w:t>
      </w:r>
    </w:p>
    <w:p w14:paraId="2AB2065D" w14:textId="77777777" w:rsidR="00EF7B8D" w:rsidRPr="00C42540" w:rsidRDefault="00EF7B8D" w:rsidP="00742A56">
      <w:pPr>
        <w:pStyle w:val="Paragraphedeliste"/>
        <w:numPr>
          <w:ilvl w:val="0"/>
          <w:numId w:val="6"/>
        </w:numPr>
        <w:rPr>
          <w:rFonts w:cstheme="minorHAnsi"/>
          <w:b/>
          <w:color w:val="C00000"/>
          <w:sz w:val="28"/>
          <w:szCs w:val="23"/>
        </w:rPr>
      </w:pPr>
      <w:r w:rsidRPr="00C42540">
        <w:rPr>
          <w:rFonts w:cstheme="minorHAnsi"/>
          <w:b/>
          <w:color w:val="C00000"/>
          <w:sz w:val="28"/>
          <w:szCs w:val="23"/>
        </w:rPr>
        <w:t xml:space="preserve">SATT </w:t>
      </w:r>
      <w:proofErr w:type="spellStart"/>
      <w:r w:rsidRPr="00C42540">
        <w:rPr>
          <w:rFonts w:cstheme="minorHAnsi"/>
          <w:b/>
          <w:color w:val="C00000"/>
          <w:sz w:val="28"/>
          <w:szCs w:val="23"/>
        </w:rPr>
        <w:t>Pulsalys</w:t>
      </w:r>
      <w:proofErr w:type="spellEnd"/>
    </w:p>
    <w:p w14:paraId="0AAAF574" w14:textId="3AAB65CE" w:rsidR="00EF7B8D" w:rsidRPr="00EF7B8D" w:rsidRDefault="00647A1F" w:rsidP="00647A1F">
      <w:pPr>
        <w:jc w:val="both"/>
        <w:rPr>
          <w:rFonts w:cstheme="minorHAnsi"/>
          <w:sz w:val="23"/>
          <w:szCs w:val="23"/>
        </w:rPr>
      </w:pPr>
      <w:r w:rsidRPr="00647A1F">
        <w:rPr>
          <w:rFonts w:cstheme="minorHAnsi"/>
          <w:sz w:val="23"/>
          <w:szCs w:val="23"/>
        </w:rPr>
        <w:t xml:space="preserve">12 </w:t>
      </w:r>
      <w:r>
        <w:rPr>
          <w:rFonts w:cstheme="minorHAnsi"/>
          <w:sz w:val="23"/>
          <w:szCs w:val="23"/>
        </w:rPr>
        <w:t xml:space="preserve">membres </w:t>
      </w:r>
      <w:r w:rsidRPr="00647A1F">
        <w:rPr>
          <w:rFonts w:cstheme="minorHAnsi"/>
          <w:sz w:val="23"/>
          <w:szCs w:val="23"/>
        </w:rPr>
        <w:t>fondateurs</w:t>
      </w:r>
      <w:r>
        <w:rPr>
          <w:rFonts w:cstheme="minorHAnsi"/>
          <w:sz w:val="23"/>
          <w:szCs w:val="23"/>
        </w:rPr>
        <w:t xml:space="preserve"> :  </w:t>
      </w:r>
      <w:r w:rsidRPr="00647A1F">
        <w:rPr>
          <w:rFonts w:cstheme="minorHAnsi"/>
          <w:sz w:val="23"/>
          <w:szCs w:val="23"/>
        </w:rPr>
        <w:t>Université Claude-Bernard-Lyon-I</w:t>
      </w:r>
      <w:r>
        <w:rPr>
          <w:rFonts w:cstheme="minorHAnsi"/>
          <w:sz w:val="23"/>
          <w:szCs w:val="23"/>
        </w:rPr>
        <w:t xml:space="preserve">, </w:t>
      </w:r>
      <w:r w:rsidRPr="00647A1F">
        <w:rPr>
          <w:rFonts w:cstheme="minorHAnsi"/>
          <w:sz w:val="23"/>
          <w:szCs w:val="23"/>
        </w:rPr>
        <w:t>Université Lumière-Lyon-II</w:t>
      </w:r>
      <w:r>
        <w:rPr>
          <w:rFonts w:cstheme="minorHAnsi"/>
          <w:sz w:val="23"/>
          <w:szCs w:val="23"/>
        </w:rPr>
        <w:t xml:space="preserve">, </w:t>
      </w:r>
      <w:r w:rsidRPr="00647A1F">
        <w:rPr>
          <w:rFonts w:cstheme="minorHAnsi"/>
          <w:sz w:val="23"/>
          <w:szCs w:val="23"/>
        </w:rPr>
        <w:t>Université Jean-Moulin-Lyon-III</w:t>
      </w:r>
      <w:r>
        <w:rPr>
          <w:rFonts w:cstheme="minorHAnsi"/>
          <w:sz w:val="23"/>
          <w:szCs w:val="23"/>
        </w:rPr>
        <w:t xml:space="preserve">, </w:t>
      </w:r>
      <w:r w:rsidRPr="00647A1F">
        <w:rPr>
          <w:rFonts w:cstheme="minorHAnsi"/>
          <w:sz w:val="23"/>
          <w:szCs w:val="23"/>
        </w:rPr>
        <w:t>Université Jean-Monnet-Saint-Étienne</w:t>
      </w:r>
      <w:r>
        <w:rPr>
          <w:rFonts w:cstheme="minorHAnsi"/>
          <w:sz w:val="23"/>
          <w:szCs w:val="23"/>
        </w:rPr>
        <w:t xml:space="preserve">, </w:t>
      </w:r>
      <w:r w:rsidRPr="00647A1F">
        <w:rPr>
          <w:rFonts w:cstheme="minorHAnsi"/>
          <w:sz w:val="23"/>
          <w:szCs w:val="23"/>
        </w:rPr>
        <w:t>École centrale de Lyon (Centrale Lyon)</w:t>
      </w:r>
      <w:r>
        <w:rPr>
          <w:rFonts w:cstheme="minorHAnsi"/>
          <w:sz w:val="23"/>
          <w:szCs w:val="23"/>
        </w:rPr>
        <w:t xml:space="preserve">, </w:t>
      </w:r>
      <w:r w:rsidRPr="00647A1F">
        <w:rPr>
          <w:rFonts w:cstheme="minorHAnsi"/>
          <w:sz w:val="23"/>
          <w:szCs w:val="23"/>
        </w:rPr>
        <w:t>École nationale des travaux publics de l'État (ENTPE)</w:t>
      </w:r>
      <w:r>
        <w:rPr>
          <w:rFonts w:cstheme="minorHAnsi"/>
          <w:sz w:val="23"/>
          <w:szCs w:val="23"/>
        </w:rPr>
        <w:t xml:space="preserve">, </w:t>
      </w:r>
      <w:r w:rsidRPr="00647A1F">
        <w:rPr>
          <w:rFonts w:cstheme="minorHAnsi"/>
          <w:sz w:val="23"/>
          <w:szCs w:val="23"/>
        </w:rPr>
        <w:t>École nationale d'ingénieurs de Saint-Étienne (ENISE)</w:t>
      </w:r>
      <w:r>
        <w:rPr>
          <w:rFonts w:cstheme="minorHAnsi"/>
          <w:sz w:val="23"/>
          <w:szCs w:val="23"/>
        </w:rPr>
        <w:t xml:space="preserve">, </w:t>
      </w:r>
      <w:r w:rsidRPr="00647A1F">
        <w:rPr>
          <w:rFonts w:cstheme="minorHAnsi"/>
          <w:sz w:val="23"/>
          <w:szCs w:val="23"/>
        </w:rPr>
        <w:t>École normale supérieure de Lyon (ENS Lyon)</w:t>
      </w:r>
      <w:r>
        <w:rPr>
          <w:rFonts w:cstheme="minorHAnsi"/>
          <w:sz w:val="23"/>
          <w:szCs w:val="23"/>
        </w:rPr>
        <w:t xml:space="preserve">, </w:t>
      </w:r>
      <w:r w:rsidRPr="00647A1F">
        <w:rPr>
          <w:rFonts w:cstheme="minorHAnsi"/>
          <w:sz w:val="23"/>
          <w:szCs w:val="23"/>
        </w:rPr>
        <w:t>Institut d'enseignement supérieur et de recherche en alimentation, santé animale, sciences agronomiques et de l'environnement (</w:t>
      </w:r>
      <w:proofErr w:type="spellStart"/>
      <w:r w:rsidRPr="00647A1F">
        <w:rPr>
          <w:rFonts w:cstheme="minorHAnsi"/>
          <w:sz w:val="23"/>
          <w:szCs w:val="23"/>
        </w:rPr>
        <w:t>VetAgro</w:t>
      </w:r>
      <w:proofErr w:type="spellEnd"/>
      <w:r w:rsidRPr="00647A1F">
        <w:rPr>
          <w:rFonts w:cstheme="minorHAnsi"/>
          <w:sz w:val="23"/>
          <w:szCs w:val="23"/>
        </w:rPr>
        <w:t xml:space="preserve"> Sup)</w:t>
      </w:r>
      <w:r>
        <w:rPr>
          <w:rFonts w:cstheme="minorHAnsi"/>
          <w:sz w:val="23"/>
          <w:szCs w:val="23"/>
        </w:rPr>
        <w:t xml:space="preserve">, </w:t>
      </w:r>
      <w:r w:rsidRPr="00647A1F">
        <w:rPr>
          <w:rFonts w:cstheme="minorHAnsi"/>
          <w:sz w:val="23"/>
          <w:szCs w:val="23"/>
        </w:rPr>
        <w:t>Institut d'études politiques de Lyon (Sciences Po Lyon)</w:t>
      </w:r>
      <w:r>
        <w:rPr>
          <w:rFonts w:cstheme="minorHAnsi"/>
          <w:sz w:val="23"/>
          <w:szCs w:val="23"/>
        </w:rPr>
        <w:t xml:space="preserve">, </w:t>
      </w:r>
      <w:r w:rsidRPr="00647A1F">
        <w:rPr>
          <w:rFonts w:cstheme="minorHAnsi"/>
          <w:sz w:val="23"/>
          <w:szCs w:val="23"/>
        </w:rPr>
        <w:t>Institut national des sciences appliquées de Lyon (</w:t>
      </w:r>
      <w:proofErr w:type="spellStart"/>
      <w:r w:rsidRPr="00647A1F">
        <w:rPr>
          <w:rFonts w:cstheme="minorHAnsi"/>
          <w:sz w:val="23"/>
          <w:szCs w:val="23"/>
        </w:rPr>
        <w:t>Insa</w:t>
      </w:r>
      <w:proofErr w:type="spellEnd"/>
      <w:r w:rsidRPr="00647A1F">
        <w:rPr>
          <w:rFonts w:cstheme="minorHAnsi"/>
          <w:sz w:val="23"/>
          <w:szCs w:val="23"/>
        </w:rPr>
        <w:t xml:space="preserve"> de Lyon)</w:t>
      </w:r>
      <w:r>
        <w:rPr>
          <w:rFonts w:cstheme="minorHAnsi"/>
          <w:sz w:val="23"/>
          <w:szCs w:val="23"/>
        </w:rPr>
        <w:t xml:space="preserve">, </w:t>
      </w:r>
      <w:r w:rsidRPr="00647A1F">
        <w:rPr>
          <w:rFonts w:cstheme="minorHAnsi"/>
          <w:sz w:val="23"/>
          <w:szCs w:val="23"/>
        </w:rPr>
        <w:t>le Centre national de la recherche scientifique (CNRS</w:t>
      </w:r>
      <w:r>
        <w:rPr>
          <w:rFonts w:cstheme="minorHAnsi"/>
          <w:sz w:val="23"/>
          <w:szCs w:val="23"/>
        </w:rPr>
        <w:t>) et les 19 m</w:t>
      </w:r>
      <w:r w:rsidRPr="00647A1F">
        <w:rPr>
          <w:rFonts w:cstheme="minorHAnsi"/>
          <w:sz w:val="23"/>
          <w:szCs w:val="23"/>
        </w:rPr>
        <w:t>embres associés</w:t>
      </w:r>
      <w:r>
        <w:rPr>
          <w:rFonts w:cstheme="minorHAnsi"/>
          <w:sz w:val="23"/>
          <w:szCs w:val="23"/>
        </w:rPr>
        <w:t>.</w:t>
      </w:r>
    </w:p>
    <w:p w14:paraId="5B972A8C" w14:textId="77777777" w:rsidR="006203C7" w:rsidRPr="00C42540" w:rsidRDefault="006203C7" w:rsidP="00742A56">
      <w:pPr>
        <w:pStyle w:val="Paragraphedeliste"/>
        <w:numPr>
          <w:ilvl w:val="0"/>
          <w:numId w:val="6"/>
        </w:numPr>
        <w:rPr>
          <w:rFonts w:cstheme="minorHAnsi"/>
          <w:b/>
          <w:color w:val="C00000"/>
          <w:sz w:val="28"/>
          <w:szCs w:val="23"/>
        </w:rPr>
      </w:pPr>
      <w:r w:rsidRPr="00C42540">
        <w:rPr>
          <w:rFonts w:cstheme="minorHAnsi"/>
          <w:b/>
          <w:color w:val="C00000"/>
          <w:sz w:val="28"/>
          <w:szCs w:val="23"/>
        </w:rPr>
        <w:t>SATT Sud-Est</w:t>
      </w:r>
    </w:p>
    <w:p w14:paraId="51481AAB" w14:textId="77777777" w:rsidR="00173579" w:rsidRDefault="00173579" w:rsidP="00173579">
      <w:r>
        <w:t xml:space="preserve">Universités d’Aix-Marseille, </w:t>
      </w:r>
      <w:r w:rsidR="00890665">
        <w:t xml:space="preserve">de </w:t>
      </w:r>
      <w:r>
        <w:t>Nice Sophia Antipolis, de Toulon, d’Avignon et des Pays de Vaucluse, de Corse, l’Ecole Centrale Marseille, le CNRS, l’Inserm, l’Assistance Publique-Hôpitaux de Marseille et le CHU de Nice.</w:t>
      </w:r>
    </w:p>
    <w:p w14:paraId="5633FBD8" w14:textId="77777777" w:rsidR="006203C7" w:rsidRPr="00C42540" w:rsidRDefault="006203C7" w:rsidP="00742A56">
      <w:pPr>
        <w:pStyle w:val="Paragraphedeliste"/>
        <w:numPr>
          <w:ilvl w:val="0"/>
          <w:numId w:val="6"/>
        </w:numPr>
        <w:rPr>
          <w:rFonts w:cstheme="minorHAnsi"/>
          <w:b/>
          <w:color w:val="C00000"/>
          <w:sz w:val="28"/>
          <w:szCs w:val="23"/>
        </w:rPr>
      </w:pPr>
      <w:r w:rsidRPr="00C42540">
        <w:rPr>
          <w:rFonts w:cstheme="minorHAnsi"/>
          <w:b/>
          <w:color w:val="C00000"/>
          <w:sz w:val="28"/>
          <w:szCs w:val="23"/>
        </w:rPr>
        <w:t>SATT Toulouse Tech Transfer</w:t>
      </w:r>
    </w:p>
    <w:p w14:paraId="235172A0" w14:textId="56A278EC" w:rsidR="005D59BF" w:rsidRDefault="00ED3B26" w:rsidP="00693EDB">
      <w:pPr>
        <w:jc w:val="both"/>
      </w:pPr>
      <w:r w:rsidRPr="00ED3B26">
        <w:rPr>
          <w:sz w:val="23"/>
          <w:szCs w:val="23"/>
        </w:rPr>
        <w:t>CNRS, Université Fédérale Toulouse Midi Pyrénées (U</w:t>
      </w:r>
      <w:r w:rsidR="00BB3AFE">
        <w:rPr>
          <w:sz w:val="23"/>
          <w:szCs w:val="23"/>
        </w:rPr>
        <w:t xml:space="preserve">niversité Toulouse I Capitole, </w:t>
      </w:r>
      <w:r w:rsidRPr="00ED3B26">
        <w:rPr>
          <w:sz w:val="23"/>
          <w:szCs w:val="23"/>
        </w:rPr>
        <w:t>Université Toulouse II Le Mirail, Université Toulouse III Paul Sabatier), Institut National Polytechnique de Toulouse (INPT), Institut National des Sciences Appliquées de Toulouse (INSA Toulouse), Institut Supérieur de l'Aéronautique et de l'Espace (ISAE), Institut National Universitaire Champollion (INUC)</w:t>
      </w:r>
      <w:r w:rsidR="00396CC7">
        <w:rPr>
          <w:sz w:val="23"/>
          <w:szCs w:val="23"/>
        </w:rPr>
        <w:t>.</w:t>
      </w:r>
    </w:p>
    <w:sectPr w:rsidR="005D59BF" w:rsidSect="00A9257B">
      <w:headerReference w:type="default" r:id="rId24"/>
      <w:footerReference w:type="default" r:id="rId25"/>
      <w:headerReference w:type="first" r:id="rId2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936D16" w14:textId="77777777" w:rsidR="00B151B6" w:rsidRDefault="00B151B6" w:rsidP="00A9257B">
      <w:pPr>
        <w:spacing w:after="0" w:line="240" w:lineRule="auto"/>
      </w:pPr>
      <w:r>
        <w:separator/>
      </w:r>
    </w:p>
  </w:endnote>
  <w:endnote w:type="continuationSeparator" w:id="0">
    <w:p w14:paraId="6D26E10D" w14:textId="77777777" w:rsidR="00B151B6" w:rsidRDefault="00B151B6" w:rsidP="00A925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005BD" w14:textId="5DB564FC" w:rsidR="002167D1" w:rsidRDefault="000E7DF1" w:rsidP="002167D1">
    <w:pPr>
      <w:pStyle w:val="Pieddepage"/>
      <w:jc w:val="center"/>
    </w:pPr>
    <w:r>
      <w:rPr>
        <w:bCs/>
        <w:sz w:val="20"/>
        <w:szCs w:val="32"/>
      </w:rPr>
      <w:t>NOTE DE CADRAGE</w:t>
    </w:r>
    <w:r w:rsidR="002167D1" w:rsidRPr="00CA05C3">
      <w:rPr>
        <w:bCs/>
        <w:sz w:val="20"/>
        <w:szCs w:val="32"/>
      </w:rPr>
      <w:t xml:space="preserve"> – </w:t>
    </w:r>
    <w:r w:rsidR="002167D1">
      <w:t>AAP TILT Mécanique 2019 2</w:t>
    </w:r>
    <w:r w:rsidR="002167D1" w:rsidRPr="00860F02">
      <w:rPr>
        <w:vertAlign w:val="superscript"/>
      </w:rPr>
      <w:t>ème</w:t>
    </w:r>
    <w:r w:rsidR="002167D1">
      <w:t xml:space="preserve"> édition</w:t>
    </w:r>
  </w:p>
  <w:p w14:paraId="6E9A7DE9" w14:textId="533014EF" w:rsidR="009F3F44" w:rsidRPr="002167D1" w:rsidRDefault="009F3F44" w:rsidP="002167D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DFC888" w14:textId="77777777" w:rsidR="00B151B6" w:rsidRDefault="00B151B6" w:rsidP="00A9257B">
      <w:pPr>
        <w:spacing w:after="0" w:line="240" w:lineRule="auto"/>
      </w:pPr>
      <w:r>
        <w:separator/>
      </w:r>
    </w:p>
  </w:footnote>
  <w:footnote w:type="continuationSeparator" w:id="0">
    <w:p w14:paraId="507434F5" w14:textId="77777777" w:rsidR="00B151B6" w:rsidRDefault="00B151B6" w:rsidP="00A9257B">
      <w:pPr>
        <w:spacing w:after="0" w:line="240" w:lineRule="auto"/>
      </w:pPr>
      <w:r>
        <w:continuationSeparator/>
      </w:r>
    </w:p>
  </w:footnote>
  <w:footnote w:id="1">
    <w:p w14:paraId="6B5FC8FB" w14:textId="6D96E122" w:rsidR="009F3F44" w:rsidRDefault="009F3F44">
      <w:pPr>
        <w:pStyle w:val="Notedebasdepage"/>
      </w:pPr>
      <w:r>
        <w:rPr>
          <w:rStyle w:val="Appelnotedebasdep"/>
        </w:rPr>
        <w:footnoteRef/>
      </w:r>
      <w:r>
        <w:t xml:space="preserve"> Le CETIM peut être un des prestataires de service envisagé dans la maturation qui pourra jouer également le rôle de promoteur des résultats auprès de ces cotisants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F31D11" w14:textId="68BDC16A" w:rsidR="00E96CBF" w:rsidRDefault="00E96CBF">
    <w:pPr>
      <w:pStyle w:val="En-tte"/>
    </w:pPr>
    <w:r>
      <w:rPr>
        <w:noProof/>
      </w:rPr>
      <w:drawing>
        <wp:anchor distT="0" distB="0" distL="114300" distR="114300" simplePos="0" relativeHeight="251659264" behindDoc="1" locked="0" layoutInCell="1" allowOverlap="1" wp14:anchorId="52B1F9B7" wp14:editId="4B0BAA71">
          <wp:simplePos x="0" y="0"/>
          <wp:positionH relativeFrom="margin">
            <wp:align>center</wp:align>
          </wp:positionH>
          <wp:positionV relativeFrom="paragraph">
            <wp:posOffset>-326844</wp:posOffset>
          </wp:positionV>
          <wp:extent cx="2797175" cy="674370"/>
          <wp:effectExtent l="0" t="0" r="3175" b="0"/>
          <wp:wrapTight wrapText="bothSides">
            <wp:wrapPolygon edited="0">
              <wp:start x="0" y="0"/>
              <wp:lineTo x="0" y="20746"/>
              <wp:lineTo x="21477" y="20746"/>
              <wp:lineTo x="21477" y="0"/>
              <wp:lineTo x="0" y="0"/>
            </wp:wrapPolygon>
          </wp:wrapTight>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r="41174"/>
                  <a:stretch/>
                </pic:blipFill>
                <pic:spPr bwMode="auto">
                  <a:xfrm>
                    <a:off x="0" y="0"/>
                    <a:ext cx="2797175" cy="67437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76AF6C" w14:textId="2D1B50DE" w:rsidR="00C34A7D" w:rsidRDefault="00C34A7D">
    <w:pPr>
      <w:pStyle w:val="En-tte"/>
    </w:pPr>
    <w:r>
      <w:rPr>
        <w:noProof/>
      </w:rPr>
      <w:drawing>
        <wp:anchor distT="0" distB="0" distL="114300" distR="114300" simplePos="0" relativeHeight="251661312" behindDoc="1" locked="0" layoutInCell="1" allowOverlap="1" wp14:anchorId="0BFA122B" wp14:editId="11007159">
          <wp:simplePos x="0" y="0"/>
          <wp:positionH relativeFrom="margin">
            <wp:align>center</wp:align>
          </wp:positionH>
          <wp:positionV relativeFrom="paragraph">
            <wp:posOffset>-286476</wp:posOffset>
          </wp:positionV>
          <wp:extent cx="4244975" cy="1022985"/>
          <wp:effectExtent l="0" t="0" r="3175" b="5715"/>
          <wp:wrapTight wrapText="bothSides">
            <wp:wrapPolygon edited="0">
              <wp:start x="0" y="0"/>
              <wp:lineTo x="0" y="21318"/>
              <wp:lineTo x="21519" y="21318"/>
              <wp:lineTo x="21519" y="0"/>
              <wp:lineTo x="0" y="0"/>
            </wp:wrapPolygon>
          </wp:wrapTight>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r="41174"/>
                  <a:stretch/>
                </pic:blipFill>
                <pic:spPr bwMode="auto">
                  <a:xfrm>
                    <a:off x="0" y="0"/>
                    <a:ext cx="4244975" cy="102298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975851"/>
    <w:multiLevelType w:val="hybridMultilevel"/>
    <w:tmpl w:val="B844B4F2"/>
    <w:lvl w:ilvl="0" w:tplc="B6D6E298">
      <w:start w:val="1"/>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6946918"/>
    <w:multiLevelType w:val="multilevel"/>
    <w:tmpl w:val="20DE4AA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C494D16"/>
    <w:multiLevelType w:val="hybridMultilevel"/>
    <w:tmpl w:val="9E2EC812"/>
    <w:lvl w:ilvl="0" w:tplc="B6D6E298">
      <w:start w:val="1"/>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31F0A8B"/>
    <w:multiLevelType w:val="hybridMultilevel"/>
    <w:tmpl w:val="07A8F7CA"/>
    <w:lvl w:ilvl="0" w:tplc="C9240FEE">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85C1640"/>
    <w:multiLevelType w:val="hybridMultilevel"/>
    <w:tmpl w:val="921A9C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FBB0171"/>
    <w:multiLevelType w:val="hybridMultilevel"/>
    <w:tmpl w:val="6AA6F5E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BB62731"/>
    <w:multiLevelType w:val="hybridMultilevel"/>
    <w:tmpl w:val="5958FA6E"/>
    <w:lvl w:ilvl="0" w:tplc="040C0005">
      <w:start w:val="1"/>
      <w:numFmt w:val="bullet"/>
      <w:lvlText w:val=""/>
      <w:lvlJc w:val="left"/>
      <w:pPr>
        <w:ind w:left="768" w:hanging="360"/>
      </w:pPr>
      <w:rPr>
        <w:rFonts w:ascii="Wingdings" w:hAnsi="Wingdings" w:hint="default"/>
      </w:rPr>
    </w:lvl>
    <w:lvl w:ilvl="1" w:tplc="040C0003" w:tentative="1">
      <w:start w:val="1"/>
      <w:numFmt w:val="bullet"/>
      <w:lvlText w:val="o"/>
      <w:lvlJc w:val="left"/>
      <w:pPr>
        <w:ind w:left="1488" w:hanging="360"/>
      </w:pPr>
      <w:rPr>
        <w:rFonts w:ascii="Courier New" w:hAnsi="Courier New" w:cs="Courier New" w:hint="default"/>
      </w:rPr>
    </w:lvl>
    <w:lvl w:ilvl="2" w:tplc="040C0005" w:tentative="1">
      <w:start w:val="1"/>
      <w:numFmt w:val="bullet"/>
      <w:lvlText w:val=""/>
      <w:lvlJc w:val="left"/>
      <w:pPr>
        <w:ind w:left="2208" w:hanging="360"/>
      </w:pPr>
      <w:rPr>
        <w:rFonts w:ascii="Wingdings" w:hAnsi="Wingdings" w:hint="default"/>
      </w:rPr>
    </w:lvl>
    <w:lvl w:ilvl="3" w:tplc="040C0001" w:tentative="1">
      <w:start w:val="1"/>
      <w:numFmt w:val="bullet"/>
      <w:lvlText w:val=""/>
      <w:lvlJc w:val="left"/>
      <w:pPr>
        <w:ind w:left="2928" w:hanging="360"/>
      </w:pPr>
      <w:rPr>
        <w:rFonts w:ascii="Symbol" w:hAnsi="Symbol" w:hint="default"/>
      </w:rPr>
    </w:lvl>
    <w:lvl w:ilvl="4" w:tplc="040C0003" w:tentative="1">
      <w:start w:val="1"/>
      <w:numFmt w:val="bullet"/>
      <w:lvlText w:val="o"/>
      <w:lvlJc w:val="left"/>
      <w:pPr>
        <w:ind w:left="3648" w:hanging="360"/>
      </w:pPr>
      <w:rPr>
        <w:rFonts w:ascii="Courier New" w:hAnsi="Courier New" w:cs="Courier New" w:hint="default"/>
      </w:rPr>
    </w:lvl>
    <w:lvl w:ilvl="5" w:tplc="040C0005" w:tentative="1">
      <w:start w:val="1"/>
      <w:numFmt w:val="bullet"/>
      <w:lvlText w:val=""/>
      <w:lvlJc w:val="left"/>
      <w:pPr>
        <w:ind w:left="4368" w:hanging="360"/>
      </w:pPr>
      <w:rPr>
        <w:rFonts w:ascii="Wingdings" w:hAnsi="Wingdings" w:hint="default"/>
      </w:rPr>
    </w:lvl>
    <w:lvl w:ilvl="6" w:tplc="040C0001" w:tentative="1">
      <w:start w:val="1"/>
      <w:numFmt w:val="bullet"/>
      <w:lvlText w:val=""/>
      <w:lvlJc w:val="left"/>
      <w:pPr>
        <w:ind w:left="5088" w:hanging="360"/>
      </w:pPr>
      <w:rPr>
        <w:rFonts w:ascii="Symbol" w:hAnsi="Symbol" w:hint="default"/>
      </w:rPr>
    </w:lvl>
    <w:lvl w:ilvl="7" w:tplc="040C0003" w:tentative="1">
      <w:start w:val="1"/>
      <w:numFmt w:val="bullet"/>
      <w:lvlText w:val="o"/>
      <w:lvlJc w:val="left"/>
      <w:pPr>
        <w:ind w:left="5808" w:hanging="360"/>
      </w:pPr>
      <w:rPr>
        <w:rFonts w:ascii="Courier New" w:hAnsi="Courier New" w:cs="Courier New" w:hint="default"/>
      </w:rPr>
    </w:lvl>
    <w:lvl w:ilvl="8" w:tplc="040C0005" w:tentative="1">
      <w:start w:val="1"/>
      <w:numFmt w:val="bullet"/>
      <w:lvlText w:val=""/>
      <w:lvlJc w:val="left"/>
      <w:pPr>
        <w:ind w:left="6528" w:hanging="360"/>
      </w:pPr>
      <w:rPr>
        <w:rFonts w:ascii="Wingdings" w:hAnsi="Wingdings" w:hint="default"/>
      </w:rPr>
    </w:lvl>
  </w:abstractNum>
  <w:abstractNum w:abstractNumId="7" w15:restartNumberingAfterBreak="0">
    <w:nsid w:val="6E173A94"/>
    <w:multiLevelType w:val="multilevel"/>
    <w:tmpl w:val="DE420C22"/>
    <w:lvl w:ilvl="0">
      <w:numFmt w:val="bullet"/>
      <w:lvlText w:val="-"/>
      <w:lvlJc w:val="left"/>
      <w:pPr>
        <w:tabs>
          <w:tab w:val="num" w:pos="720"/>
        </w:tabs>
        <w:ind w:left="720" w:hanging="360"/>
      </w:pPr>
      <w:rPr>
        <w:rFonts w:ascii="Calibri" w:eastAsiaTheme="minorHAnsi" w:hAnsi="Calibri" w:cs="Calibri"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74122227"/>
    <w:multiLevelType w:val="hybridMultilevel"/>
    <w:tmpl w:val="7E04EBF0"/>
    <w:lvl w:ilvl="0" w:tplc="393C449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2"/>
  </w:num>
  <w:num w:numId="4">
    <w:abstractNumId w:val="0"/>
  </w:num>
  <w:num w:numId="5">
    <w:abstractNumId w:val="4"/>
  </w:num>
  <w:num w:numId="6">
    <w:abstractNumId w:val="5"/>
  </w:num>
  <w:num w:numId="7">
    <w:abstractNumId w:val="1"/>
  </w:num>
  <w:num w:numId="8">
    <w:abstractNumId w:val="7"/>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257B"/>
    <w:rsid w:val="00023406"/>
    <w:rsid w:val="00032ED6"/>
    <w:rsid w:val="00034657"/>
    <w:rsid w:val="00043C94"/>
    <w:rsid w:val="00046344"/>
    <w:rsid w:val="00063E00"/>
    <w:rsid w:val="000714A7"/>
    <w:rsid w:val="00082CFF"/>
    <w:rsid w:val="000A6426"/>
    <w:rsid w:val="000B453D"/>
    <w:rsid w:val="000B7CAE"/>
    <w:rsid w:val="000C5CDE"/>
    <w:rsid w:val="000D07B1"/>
    <w:rsid w:val="000D539D"/>
    <w:rsid w:val="000E7DF1"/>
    <w:rsid w:val="001321E8"/>
    <w:rsid w:val="0014023A"/>
    <w:rsid w:val="00143DCC"/>
    <w:rsid w:val="00144D2A"/>
    <w:rsid w:val="0014762F"/>
    <w:rsid w:val="00160E16"/>
    <w:rsid w:val="00173579"/>
    <w:rsid w:val="00193295"/>
    <w:rsid w:val="001A3455"/>
    <w:rsid w:val="001B0123"/>
    <w:rsid w:val="001B0158"/>
    <w:rsid w:val="001B4F14"/>
    <w:rsid w:val="001D7E11"/>
    <w:rsid w:val="001E5DDF"/>
    <w:rsid w:val="002167D1"/>
    <w:rsid w:val="00226540"/>
    <w:rsid w:val="002329A1"/>
    <w:rsid w:val="00240685"/>
    <w:rsid w:val="002622FB"/>
    <w:rsid w:val="00262D6A"/>
    <w:rsid w:val="002668E1"/>
    <w:rsid w:val="00274F79"/>
    <w:rsid w:val="002833E2"/>
    <w:rsid w:val="00297B7D"/>
    <w:rsid w:val="002A4AC3"/>
    <w:rsid w:val="002A76EE"/>
    <w:rsid w:val="002A7F02"/>
    <w:rsid w:val="002D101A"/>
    <w:rsid w:val="002D4BB8"/>
    <w:rsid w:val="002D5AAD"/>
    <w:rsid w:val="002E3AD0"/>
    <w:rsid w:val="002E7AC8"/>
    <w:rsid w:val="002F3A81"/>
    <w:rsid w:val="003428C2"/>
    <w:rsid w:val="0037118F"/>
    <w:rsid w:val="003857EA"/>
    <w:rsid w:val="00396CC7"/>
    <w:rsid w:val="003A2918"/>
    <w:rsid w:val="003A627F"/>
    <w:rsid w:val="003C1926"/>
    <w:rsid w:val="003C3093"/>
    <w:rsid w:val="00405D5B"/>
    <w:rsid w:val="0042223D"/>
    <w:rsid w:val="00422445"/>
    <w:rsid w:val="004242FB"/>
    <w:rsid w:val="00463220"/>
    <w:rsid w:val="00481779"/>
    <w:rsid w:val="004941C6"/>
    <w:rsid w:val="004A63D5"/>
    <w:rsid w:val="004B0276"/>
    <w:rsid w:val="004B142F"/>
    <w:rsid w:val="004D0CF9"/>
    <w:rsid w:val="004D7C29"/>
    <w:rsid w:val="004D7C5C"/>
    <w:rsid w:val="004E4F6E"/>
    <w:rsid w:val="00520162"/>
    <w:rsid w:val="00523980"/>
    <w:rsid w:val="00540F2D"/>
    <w:rsid w:val="00566FA2"/>
    <w:rsid w:val="0057641A"/>
    <w:rsid w:val="005A3616"/>
    <w:rsid w:val="005A3634"/>
    <w:rsid w:val="005B5978"/>
    <w:rsid w:val="005B5F88"/>
    <w:rsid w:val="005D59BF"/>
    <w:rsid w:val="005E70DB"/>
    <w:rsid w:val="005E7AF0"/>
    <w:rsid w:val="005F345A"/>
    <w:rsid w:val="006060FB"/>
    <w:rsid w:val="00610EE4"/>
    <w:rsid w:val="006203C7"/>
    <w:rsid w:val="00632F3F"/>
    <w:rsid w:val="00647A1F"/>
    <w:rsid w:val="00693EDB"/>
    <w:rsid w:val="00695E0B"/>
    <w:rsid w:val="00696D89"/>
    <w:rsid w:val="006A326E"/>
    <w:rsid w:val="006D2569"/>
    <w:rsid w:val="006F3974"/>
    <w:rsid w:val="00702BF7"/>
    <w:rsid w:val="0071101E"/>
    <w:rsid w:val="00735F87"/>
    <w:rsid w:val="007422A8"/>
    <w:rsid w:val="00742A56"/>
    <w:rsid w:val="00780EE1"/>
    <w:rsid w:val="00791F80"/>
    <w:rsid w:val="00797178"/>
    <w:rsid w:val="007B2EFC"/>
    <w:rsid w:val="007D5B19"/>
    <w:rsid w:val="007E15B8"/>
    <w:rsid w:val="007E540E"/>
    <w:rsid w:val="007E6FAD"/>
    <w:rsid w:val="007F25AF"/>
    <w:rsid w:val="008140B7"/>
    <w:rsid w:val="00835962"/>
    <w:rsid w:val="008407DB"/>
    <w:rsid w:val="00845E5F"/>
    <w:rsid w:val="00846278"/>
    <w:rsid w:val="00860F02"/>
    <w:rsid w:val="0086615D"/>
    <w:rsid w:val="00871CA0"/>
    <w:rsid w:val="00873200"/>
    <w:rsid w:val="00873BE7"/>
    <w:rsid w:val="008866E9"/>
    <w:rsid w:val="00890665"/>
    <w:rsid w:val="00892B2B"/>
    <w:rsid w:val="008A5C00"/>
    <w:rsid w:val="008B0723"/>
    <w:rsid w:val="008B26EF"/>
    <w:rsid w:val="008B2E27"/>
    <w:rsid w:val="008B6B37"/>
    <w:rsid w:val="008C38A4"/>
    <w:rsid w:val="009033AC"/>
    <w:rsid w:val="009042B2"/>
    <w:rsid w:val="009201C7"/>
    <w:rsid w:val="00940837"/>
    <w:rsid w:val="00940D7D"/>
    <w:rsid w:val="00955446"/>
    <w:rsid w:val="0099225F"/>
    <w:rsid w:val="009A2761"/>
    <w:rsid w:val="009B2CE1"/>
    <w:rsid w:val="009B3D35"/>
    <w:rsid w:val="009C67D6"/>
    <w:rsid w:val="009D0408"/>
    <w:rsid w:val="009D3C46"/>
    <w:rsid w:val="009E0EFA"/>
    <w:rsid w:val="009E76C8"/>
    <w:rsid w:val="009F3F44"/>
    <w:rsid w:val="009F4493"/>
    <w:rsid w:val="009F6225"/>
    <w:rsid w:val="009F6943"/>
    <w:rsid w:val="00A31FF3"/>
    <w:rsid w:val="00A4670D"/>
    <w:rsid w:val="00A46A6F"/>
    <w:rsid w:val="00A70D2B"/>
    <w:rsid w:val="00A9257B"/>
    <w:rsid w:val="00A97782"/>
    <w:rsid w:val="00A97A36"/>
    <w:rsid w:val="00AB7F56"/>
    <w:rsid w:val="00AC3D7D"/>
    <w:rsid w:val="00AE6584"/>
    <w:rsid w:val="00B0357D"/>
    <w:rsid w:val="00B151B6"/>
    <w:rsid w:val="00B17295"/>
    <w:rsid w:val="00B21AA1"/>
    <w:rsid w:val="00B4403D"/>
    <w:rsid w:val="00B55421"/>
    <w:rsid w:val="00B55BB5"/>
    <w:rsid w:val="00B668C0"/>
    <w:rsid w:val="00B71C0D"/>
    <w:rsid w:val="00B9692D"/>
    <w:rsid w:val="00BA3D88"/>
    <w:rsid w:val="00BA4E33"/>
    <w:rsid w:val="00BB3AFE"/>
    <w:rsid w:val="00BF3A36"/>
    <w:rsid w:val="00C02C87"/>
    <w:rsid w:val="00C0350E"/>
    <w:rsid w:val="00C061EE"/>
    <w:rsid w:val="00C0650D"/>
    <w:rsid w:val="00C34A7D"/>
    <w:rsid w:val="00C42540"/>
    <w:rsid w:val="00C733A5"/>
    <w:rsid w:val="00C81255"/>
    <w:rsid w:val="00C92A62"/>
    <w:rsid w:val="00C94E55"/>
    <w:rsid w:val="00C9647F"/>
    <w:rsid w:val="00CA2B77"/>
    <w:rsid w:val="00CE245F"/>
    <w:rsid w:val="00CF2589"/>
    <w:rsid w:val="00CF629A"/>
    <w:rsid w:val="00D009C0"/>
    <w:rsid w:val="00D20E5E"/>
    <w:rsid w:val="00D254ED"/>
    <w:rsid w:val="00D477BC"/>
    <w:rsid w:val="00D96119"/>
    <w:rsid w:val="00DA1E47"/>
    <w:rsid w:val="00DC342F"/>
    <w:rsid w:val="00DC55E6"/>
    <w:rsid w:val="00DD2E7E"/>
    <w:rsid w:val="00DD38F9"/>
    <w:rsid w:val="00E2787C"/>
    <w:rsid w:val="00E47A9B"/>
    <w:rsid w:val="00E504CA"/>
    <w:rsid w:val="00E53FFD"/>
    <w:rsid w:val="00E630D3"/>
    <w:rsid w:val="00E9632F"/>
    <w:rsid w:val="00E96CBF"/>
    <w:rsid w:val="00EA5DA8"/>
    <w:rsid w:val="00EB3AEE"/>
    <w:rsid w:val="00EC22DE"/>
    <w:rsid w:val="00EC65DB"/>
    <w:rsid w:val="00ED1B01"/>
    <w:rsid w:val="00ED3B26"/>
    <w:rsid w:val="00ED507B"/>
    <w:rsid w:val="00EF2C19"/>
    <w:rsid w:val="00EF7B8D"/>
    <w:rsid w:val="00F26C68"/>
    <w:rsid w:val="00F434B4"/>
    <w:rsid w:val="00F65EA1"/>
    <w:rsid w:val="00F833F2"/>
    <w:rsid w:val="00F93674"/>
    <w:rsid w:val="00FC3838"/>
    <w:rsid w:val="00FC3E09"/>
    <w:rsid w:val="00FC70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5D8D48C"/>
  <w15:docId w15:val="{2C2DE5D5-4ECD-477D-94FE-C65B472F2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uiPriority w:val="9"/>
    <w:qFormat/>
    <w:rsid w:val="00EB3AE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9257B"/>
    <w:pPr>
      <w:tabs>
        <w:tab w:val="center" w:pos="4536"/>
        <w:tab w:val="right" w:pos="9072"/>
      </w:tabs>
      <w:spacing w:after="0" w:line="240" w:lineRule="auto"/>
    </w:pPr>
  </w:style>
  <w:style w:type="character" w:customStyle="1" w:styleId="En-tteCar">
    <w:name w:val="En-tête Car"/>
    <w:basedOn w:val="Policepardfaut"/>
    <w:link w:val="En-tte"/>
    <w:uiPriority w:val="99"/>
    <w:rsid w:val="00A9257B"/>
  </w:style>
  <w:style w:type="paragraph" w:styleId="Pieddepage">
    <w:name w:val="footer"/>
    <w:basedOn w:val="Normal"/>
    <w:link w:val="PieddepageCar"/>
    <w:uiPriority w:val="99"/>
    <w:unhideWhenUsed/>
    <w:rsid w:val="00A9257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9257B"/>
  </w:style>
  <w:style w:type="character" w:styleId="Lienhypertexte">
    <w:name w:val="Hyperlink"/>
    <w:basedOn w:val="Policepardfaut"/>
    <w:uiPriority w:val="99"/>
    <w:unhideWhenUsed/>
    <w:rsid w:val="007B2EFC"/>
    <w:rPr>
      <w:color w:val="0563C1" w:themeColor="hyperlink"/>
      <w:u w:val="single"/>
    </w:rPr>
  </w:style>
  <w:style w:type="paragraph" w:customStyle="1" w:styleId="Default">
    <w:name w:val="Default"/>
    <w:rsid w:val="007B2EFC"/>
    <w:pPr>
      <w:autoSpaceDE w:val="0"/>
      <w:autoSpaceDN w:val="0"/>
      <w:adjustRightInd w:val="0"/>
      <w:spacing w:after="0" w:line="240" w:lineRule="auto"/>
    </w:pPr>
    <w:rPr>
      <w:rFonts w:ascii="Calibri" w:hAnsi="Calibri" w:cs="Calibri"/>
      <w:color w:val="000000"/>
      <w:sz w:val="24"/>
      <w:szCs w:val="24"/>
    </w:rPr>
  </w:style>
  <w:style w:type="paragraph" w:styleId="Paragraphedeliste">
    <w:name w:val="List Paragraph"/>
    <w:basedOn w:val="Normal"/>
    <w:uiPriority w:val="34"/>
    <w:qFormat/>
    <w:rsid w:val="00A70D2B"/>
    <w:pPr>
      <w:ind w:left="720"/>
      <w:contextualSpacing/>
    </w:pPr>
  </w:style>
  <w:style w:type="character" w:styleId="Lienhypertextesuivivisit">
    <w:name w:val="FollowedHyperlink"/>
    <w:basedOn w:val="Policepardfaut"/>
    <w:uiPriority w:val="99"/>
    <w:semiHidden/>
    <w:unhideWhenUsed/>
    <w:rsid w:val="00940837"/>
    <w:rPr>
      <w:color w:val="954F72" w:themeColor="followedHyperlink"/>
      <w:u w:val="single"/>
    </w:rPr>
  </w:style>
  <w:style w:type="table" w:styleId="Grilledutableau">
    <w:name w:val="Table Grid"/>
    <w:basedOn w:val="TableauNormal"/>
    <w:uiPriority w:val="39"/>
    <w:rsid w:val="005D59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B21AA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21AA1"/>
    <w:rPr>
      <w:rFonts w:ascii="Segoe UI" w:hAnsi="Segoe UI" w:cs="Segoe UI"/>
      <w:sz w:val="18"/>
      <w:szCs w:val="18"/>
    </w:rPr>
  </w:style>
  <w:style w:type="character" w:styleId="Marquedecommentaire">
    <w:name w:val="annotation reference"/>
    <w:basedOn w:val="Policepardfaut"/>
    <w:uiPriority w:val="99"/>
    <w:semiHidden/>
    <w:unhideWhenUsed/>
    <w:rsid w:val="00B21AA1"/>
    <w:rPr>
      <w:sz w:val="16"/>
      <w:szCs w:val="16"/>
    </w:rPr>
  </w:style>
  <w:style w:type="paragraph" w:styleId="Commentaire">
    <w:name w:val="annotation text"/>
    <w:basedOn w:val="Normal"/>
    <w:link w:val="CommentaireCar"/>
    <w:uiPriority w:val="99"/>
    <w:semiHidden/>
    <w:unhideWhenUsed/>
    <w:rsid w:val="00B21AA1"/>
    <w:pPr>
      <w:spacing w:line="240" w:lineRule="auto"/>
    </w:pPr>
    <w:rPr>
      <w:sz w:val="20"/>
      <w:szCs w:val="20"/>
    </w:rPr>
  </w:style>
  <w:style w:type="character" w:customStyle="1" w:styleId="CommentaireCar">
    <w:name w:val="Commentaire Car"/>
    <w:basedOn w:val="Policepardfaut"/>
    <w:link w:val="Commentaire"/>
    <w:uiPriority w:val="99"/>
    <w:semiHidden/>
    <w:rsid w:val="00B21AA1"/>
    <w:rPr>
      <w:sz w:val="20"/>
      <w:szCs w:val="20"/>
    </w:rPr>
  </w:style>
  <w:style w:type="paragraph" w:styleId="Objetducommentaire">
    <w:name w:val="annotation subject"/>
    <w:basedOn w:val="Commentaire"/>
    <w:next w:val="Commentaire"/>
    <w:link w:val="ObjetducommentaireCar"/>
    <w:uiPriority w:val="99"/>
    <w:semiHidden/>
    <w:unhideWhenUsed/>
    <w:rsid w:val="00B21AA1"/>
    <w:rPr>
      <w:b/>
      <w:bCs/>
    </w:rPr>
  </w:style>
  <w:style w:type="character" w:customStyle="1" w:styleId="ObjetducommentaireCar">
    <w:name w:val="Objet du commentaire Car"/>
    <w:basedOn w:val="CommentaireCar"/>
    <w:link w:val="Objetducommentaire"/>
    <w:uiPriority w:val="99"/>
    <w:semiHidden/>
    <w:rsid w:val="00B21AA1"/>
    <w:rPr>
      <w:b/>
      <w:bCs/>
      <w:sz w:val="20"/>
      <w:szCs w:val="20"/>
    </w:rPr>
  </w:style>
  <w:style w:type="character" w:customStyle="1" w:styleId="Titre1Car">
    <w:name w:val="Titre 1 Car"/>
    <w:basedOn w:val="Policepardfaut"/>
    <w:link w:val="Titre1"/>
    <w:uiPriority w:val="9"/>
    <w:rsid w:val="00EB3AEE"/>
    <w:rPr>
      <w:rFonts w:asciiTheme="majorHAnsi" w:eastAsiaTheme="majorEastAsia" w:hAnsiTheme="majorHAnsi" w:cstheme="majorBidi"/>
      <w:color w:val="2E74B5" w:themeColor="accent1" w:themeShade="BF"/>
      <w:sz w:val="32"/>
      <w:szCs w:val="32"/>
    </w:rPr>
  </w:style>
  <w:style w:type="character" w:customStyle="1" w:styleId="Mentionnonrsolue1">
    <w:name w:val="Mention non résolue1"/>
    <w:basedOn w:val="Policepardfaut"/>
    <w:uiPriority w:val="99"/>
    <w:semiHidden/>
    <w:unhideWhenUsed/>
    <w:rsid w:val="008B0723"/>
    <w:rPr>
      <w:color w:val="808080"/>
      <w:shd w:val="clear" w:color="auto" w:fill="E6E6E6"/>
    </w:rPr>
  </w:style>
  <w:style w:type="paragraph" w:styleId="Notedefin">
    <w:name w:val="endnote text"/>
    <w:basedOn w:val="Normal"/>
    <w:link w:val="NotedefinCar"/>
    <w:uiPriority w:val="99"/>
    <w:semiHidden/>
    <w:unhideWhenUsed/>
    <w:rsid w:val="00082CFF"/>
    <w:pPr>
      <w:spacing w:after="0" w:line="240" w:lineRule="auto"/>
    </w:pPr>
    <w:rPr>
      <w:sz w:val="20"/>
      <w:szCs w:val="20"/>
    </w:rPr>
  </w:style>
  <w:style w:type="character" w:customStyle="1" w:styleId="NotedefinCar">
    <w:name w:val="Note de fin Car"/>
    <w:basedOn w:val="Policepardfaut"/>
    <w:link w:val="Notedefin"/>
    <w:uiPriority w:val="99"/>
    <w:semiHidden/>
    <w:rsid w:val="00082CFF"/>
    <w:rPr>
      <w:sz w:val="20"/>
      <w:szCs w:val="20"/>
    </w:rPr>
  </w:style>
  <w:style w:type="character" w:styleId="Appeldenotedefin">
    <w:name w:val="endnote reference"/>
    <w:basedOn w:val="Policepardfaut"/>
    <w:uiPriority w:val="99"/>
    <w:semiHidden/>
    <w:unhideWhenUsed/>
    <w:rsid w:val="00082CFF"/>
    <w:rPr>
      <w:vertAlign w:val="superscript"/>
    </w:rPr>
  </w:style>
  <w:style w:type="paragraph" w:styleId="Notedebasdepage">
    <w:name w:val="footnote text"/>
    <w:basedOn w:val="Normal"/>
    <w:link w:val="NotedebasdepageCar"/>
    <w:uiPriority w:val="99"/>
    <w:semiHidden/>
    <w:unhideWhenUsed/>
    <w:rsid w:val="00082CFF"/>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82CFF"/>
    <w:rPr>
      <w:sz w:val="20"/>
      <w:szCs w:val="20"/>
    </w:rPr>
  </w:style>
  <w:style w:type="character" w:styleId="Appelnotedebasdep">
    <w:name w:val="footnote reference"/>
    <w:basedOn w:val="Policepardfaut"/>
    <w:uiPriority w:val="99"/>
    <w:semiHidden/>
    <w:unhideWhenUsed/>
    <w:rsid w:val="00082CFF"/>
    <w:rPr>
      <w:vertAlign w:val="superscript"/>
    </w:rPr>
  </w:style>
  <w:style w:type="character" w:styleId="Mentionnonrsolue">
    <w:name w:val="Unresolved Mention"/>
    <w:basedOn w:val="Policepardfaut"/>
    <w:uiPriority w:val="99"/>
    <w:semiHidden/>
    <w:unhideWhenUsed/>
    <w:rsid w:val="00DC34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559788">
      <w:bodyDiv w:val="1"/>
      <w:marLeft w:val="0"/>
      <w:marRight w:val="0"/>
      <w:marTop w:val="0"/>
      <w:marBottom w:val="0"/>
      <w:divBdr>
        <w:top w:val="none" w:sz="0" w:space="0" w:color="auto"/>
        <w:left w:val="none" w:sz="0" w:space="0" w:color="auto"/>
        <w:bottom w:val="none" w:sz="0" w:space="0" w:color="auto"/>
        <w:right w:val="none" w:sz="0" w:space="0" w:color="auto"/>
      </w:divBdr>
    </w:div>
    <w:div w:id="520439493">
      <w:bodyDiv w:val="1"/>
      <w:marLeft w:val="0"/>
      <w:marRight w:val="0"/>
      <w:marTop w:val="0"/>
      <w:marBottom w:val="0"/>
      <w:divBdr>
        <w:top w:val="none" w:sz="0" w:space="0" w:color="auto"/>
        <w:left w:val="none" w:sz="0" w:space="0" w:color="auto"/>
        <w:bottom w:val="none" w:sz="0" w:space="0" w:color="auto"/>
        <w:right w:val="none" w:sz="0" w:space="0" w:color="auto"/>
      </w:divBdr>
    </w:div>
    <w:div w:id="599333020">
      <w:bodyDiv w:val="1"/>
      <w:marLeft w:val="0"/>
      <w:marRight w:val="0"/>
      <w:marTop w:val="0"/>
      <w:marBottom w:val="0"/>
      <w:divBdr>
        <w:top w:val="none" w:sz="0" w:space="0" w:color="auto"/>
        <w:left w:val="none" w:sz="0" w:space="0" w:color="auto"/>
        <w:bottom w:val="none" w:sz="0" w:space="0" w:color="auto"/>
        <w:right w:val="none" w:sz="0" w:space="0" w:color="auto"/>
      </w:divBdr>
    </w:div>
    <w:div w:id="690450144">
      <w:bodyDiv w:val="1"/>
      <w:marLeft w:val="0"/>
      <w:marRight w:val="0"/>
      <w:marTop w:val="0"/>
      <w:marBottom w:val="0"/>
      <w:divBdr>
        <w:top w:val="none" w:sz="0" w:space="0" w:color="auto"/>
        <w:left w:val="none" w:sz="0" w:space="0" w:color="auto"/>
        <w:bottom w:val="none" w:sz="0" w:space="0" w:color="auto"/>
        <w:right w:val="none" w:sz="0" w:space="0" w:color="auto"/>
      </w:divBdr>
    </w:div>
    <w:div w:id="1396053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image" Target="media/image11.jpeg"/><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satt.fr/aap-tilt-2019/" TargetMode="Externa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yperlink" Target="mailto:TILT.AAP-2019@satt.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yperlink" Target="mailto:TILT.AAP-2019@satt.fr" TargetMode="External"/><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emf"/><Relationship Id="rId22" Type="http://schemas.openxmlformats.org/officeDocument/2006/relationships/hyperlink" Target="https://sphinxdeclic.com/d/s/hnmeue"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3.gif"/></Relationships>
</file>

<file path=word/_rels/header2.xml.rels><?xml version="1.0" encoding="UTF-8" standalone="yes"?>
<Relationships xmlns="http://schemas.openxmlformats.org/package/2006/relationships"><Relationship Id="rId1" Type="http://schemas.openxmlformats.org/officeDocument/2006/relationships/image" Target="media/image13.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767992-0843-42DC-A623-D30B0C4FE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1951</Words>
  <Characters>10736</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CETIM</Company>
  <LinksUpToDate>false</LinksUpToDate>
  <CharactersWithSpaces>12662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dc:creator>
  <cp:lastModifiedBy>Mélanie TROMBIK</cp:lastModifiedBy>
  <cp:revision>12</cp:revision>
  <cp:lastPrinted>2017-09-19T12:03:00Z</cp:lastPrinted>
  <dcterms:created xsi:type="dcterms:W3CDTF">2019-03-04T09:09:00Z</dcterms:created>
  <dcterms:modified xsi:type="dcterms:W3CDTF">2019-03-05T15:20:00Z</dcterms:modified>
</cp:coreProperties>
</file>